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Member of Parliament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Elected representative with a background in policy analysis, community engagement and stakeholder management. Skilled at representing constituents in parliament, scrutinising legislation and building cross-party support for practical policy outcomes. Combines strong written communication and data storytelling with the people leadership needed to run an electorate office and manage a demanding public schedule.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Policy analysis and advice   •   Community engagement   •   Strategy development   •   Stakeholder management   •   Written communication   •   Presenting and data storytelling   •   People leadership   •   Time and deadline management   •   Microsoft 365   •   Zoom   •   Salesforce   •   X (Twitter)   •   Facebook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Member of Parliament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Represented constituents in parliament and in the electorate, resolving issues with government services, local infrastructure and community grants.</w:t>
      </w:r>
    </w:p>
    <w:p>
      <w:pPr>
        <w:pStyle w:val="ListBullet"/>
        <w:spacing w:after="80" w:line="276" w:lineRule="auto"/>
      </w:pPr>
      <w:r>
        <w:t>Scrutinised legislation through committee work, contributing to amendments that improved outcomes for regional communities.</w:t>
      </w:r>
    </w:p>
    <w:p>
      <w:pPr>
        <w:pStyle w:val="ListBullet"/>
        <w:spacing w:after="80" w:line="276" w:lineRule="auto"/>
      </w:pPr>
      <w:r>
        <w:t>Led community consultations that shaped local infrastructure priority lists and informed policy positions.</w:t>
      </w:r>
    </w:p>
    <w:p>
      <w:pPr>
        <w:pStyle w:val="ListBullet"/>
        <w:spacing w:after="80" w:line="276" w:lineRule="auto"/>
      </w:pPr>
      <w:r>
        <w:t>Managed a team of electorate staff to handle a high volume of constituent enquiries across a large regional electorate.</w:t>
      </w:r>
    </w:p>
    <w:p>
      <w:pPr>
        <w:pStyle w:val="ListBullet"/>
        <w:spacing w:after="80" w:line="276" w:lineRule="auto"/>
      </w:pPr>
      <w:r>
        <w:t>Reduced response times for constituent correspondence from two weeks to five days by overhauling the electorate office triage process.</w:t>
      </w:r>
    </w:p>
    <w:p>
      <w:pPr>
        <w:pStyle w:val="ListBullet"/>
        <w:spacing w:after="240" w:line="276" w:lineRule="auto"/>
      </w:pPr>
      <w:r>
        <w:t>Built relationships with community groups, media and stakeholders to keep policy positions grounded in local needs.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A bachelor degree in law, politics, public policy, economics or a related field is the most common pathway. Many Members of Parliament also hold a postgraduate qualification, and some enter through community, union or local government leadership without a degree.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