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Middle School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Middle school teacher working with students in years 6 to 9, with a focus on the transition into secondary-style learning. Registered with the relevant state or territory teacher authority and accredited at Proficient level against the Australian Professional Standards for Teachers. Strengths in curriculum planning across core subjects, classroom routines that hold up with early adolescents, and pastoral care that keeps students connected to school.</w:t>
      </w:r>
    </w:p>
    <w:p>
      <w:pPr>
        <w:spacing w:before="280" w:after="120"/>
        <w:jc w:val="left"/>
        <w:pBdr>
          <w:bottom w:val="single" w:sz="6" w:space="4" w:color="DFDED8"/>
        </w:pBdr>
      </w:pPr>
      <w:r>
        <w:rPr>
          <w:b/>
          <w:color w:val="2F62D9"/>
          <w:sz w:val="22"/>
        </w:rPr>
        <w:t>KEY SKILLS</w:t>
      </w:r>
    </w:p>
    <w:p>
      <w:pPr>
        <w:spacing w:before="0" w:after="200"/>
        <w:jc w:val="left"/>
      </w:pPr>
      <w:r>
        <w:t>Teaching and instruction across core subject areas   •   Curriculum and lesson design aligned to the Australian Curriculum   •   Classroom and behaviour management with early adolescent cohorts   •   Student assessment, moderation and reporting   •   Pastoral care and student wellbeing   •   Differentiation for students with additional learning needs and EAL/D learners   •   Google Classroom   •   Microsoft Teams   •   SEQTA   •   Moodle   •   Canvas LMS   •   Written communication with parents, carers and colleagues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Middle School Teacher</w:t>
      </w:r>
      <w:r>
        <w:t>, [Company Name], [City]</w:t>
      </w:r>
      <w:r>
        <w:rPr>
          <w:i/>
        </w:rPr>
        <w:tab/>
        <w:t>[Month Year] – [Month Year / Present]</w:t>
      </w:r>
    </w:p>
    <w:p>
      <w:pPr>
        <w:pStyle w:val="ListBullet"/>
        <w:spacing w:after="80" w:line="276" w:lineRule="auto"/>
      </w:pPr>
      <w:r>
        <w:t>Planned and delivered lessons across core subjects for a year 7 cohort, establishing a weekly routine that helped students adjust to multiple teachers and rooms.</w:t>
      </w:r>
    </w:p>
    <w:p>
      <w:pPr>
        <w:pStyle w:val="ListBullet"/>
        <w:spacing w:after="80" w:line="276" w:lineRule="auto"/>
      </w:pPr>
      <w:r>
        <w:t>Built a transition program with feeder primary teachers covering literacy and numeracy expectations, which reduced the number of year 7 students needing catch-up support in first term.</w:t>
      </w:r>
    </w:p>
    <w:p>
      <w:pPr>
        <w:pStyle w:val="ListBullet"/>
        <w:spacing w:after="80" w:line="276" w:lineRule="auto"/>
      </w:pPr>
      <w:r>
        <w:t>Managed classroom behaviour using consistent, agreed routines, cutting the number of students leaving lessons for time out and keeping more of the class engaged in set work.</w:t>
      </w:r>
    </w:p>
    <w:p>
      <w:pPr>
        <w:pStyle w:val="ListBullet"/>
        <w:spacing w:after="80" w:line="276" w:lineRule="auto"/>
      </w:pPr>
      <w:r>
        <w:t>Recorded assessment and wrote report comments in SEQTA, so parent teacher interviews ran from shared evidence rather than recollection.</w:t>
      </w:r>
    </w:p>
    <w:p>
      <w:pPr>
        <w:pStyle w:val="ListBullet"/>
        <w:spacing w:after="80" w:line="276" w:lineRule="auto"/>
      </w:pPr>
      <w:r>
        <w:t>Ran a pastoral care group of around 25 students, tracking attendance and wellbeing and referring concerns through the year coordinator and school wellbeing team.</w:t>
      </w:r>
    </w:p>
    <w:p>
      <w:pPr>
        <w:pStyle w:val="ListBullet"/>
        <w:spacing w:after="80" w:line="276" w:lineRule="auto"/>
      </w:pPr>
      <w:r>
        <w:t>Wrote Individual Learning Plans with the learning support team and delivered the adjustments in mainstream classes, including for students with disability funded through the NCCD.</w:t>
      </w:r>
    </w:p>
    <w:p>
      <w:pPr>
        <w:pStyle w:val="ListBullet"/>
        <w:spacing w:after="80" w:line="276" w:lineRule="auto"/>
      </w:pPr>
      <w:r>
        <w:t>Wrote Individual Learning Plans with the learning support team and implemented adjustments in mainstream classes, including for students with disability funded through the NCCD.</w:t>
      </w:r>
    </w:p>
    <w:p>
      <w:pPr>
        <w:pStyle w:val="ListBullet"/>
        <w:spacing w:after="240" w:line="276" w:lineRule="auto"/>
      </w:pPr>
      <w:r>
        <w:t>Contacted parents and carers by phone and email each fortnight, resolving several attendance and engagement concerns before they escalated to formal meetings.</w:t>
      </w:r>
    </w:p>
    <w:p>
      <w:pPr>
        <w:spacing w:before="280" w:after="120"/>
        <w:jc w:val="left"/>
        <w:pBdr>
          <w:bottom w:val="single" w:sz="6" w:space="4" w:color="DFDED8"/>
        </w:pBdr>
      </w:pPr>
      <w:r>
        <w:rPr>
          <w:b/>
          <w:color w:val="2F62D9"/>
          <w:sz w:val="22"/>
        </w:rPr>
        <w:t>EDUCATION</w:t>
      </w:r>
    </w:p>
    <w:p>
      <w:pPr>
        <w:spacing w:before="0" w:after="200"/>
        <w:jc w:val="left"/>
      </w:pPr>
      <w:r>
        <w:t>Bachelor of Education (Middle Years) or a bachelor degree plus a Master of Teaching (Secondary), accredited by AITSL, followed by registration with the state or territory teacher authority and accreditation at Proficient level.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