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Mortgage Broker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Mortgage broker experienced in assessing borrower serviceability, comparing loan products across multiple lenders, and guiding clients from initial enquiry through to settlement. Works within responsible lending obligations under the National Consumer Credit Protection Act and holds (or is eligible to hold) an Australian Credit Licence or credit representative authorisation. Comfortable managing a client pipeline while coordinating with lenders, valuers and settlement agents to meet deadlines.</w:t>
      </w:r>
    </w:p>
    <w:p>
      <w:pPr>
        <w:spacing w:before="280" w:after="120"/>
        <w:jc w:val="left"/>
        <w:pBdr>
          <w:bottom w:val="single" w:sz="6" w:space="4" w:color="DFDED8"/>
        </w:pBdr>
      </w:pPr>
      <w:r>
        <w:rPr>
          <w:b/>
          <w:color w:val="2F62D9"/>
          <w:sz w:val="22"/>
        </w:rPr>
        <w:t>KEY SKILLS</w:t>
      </w:r>
    </w:p>
    <w:p>
      <w:pPr>
        <w:spacing w:before="0" w:after="200"/>
        <w:jc w:val="left"/>
      </w:pPr>
      <w:r>
        <w:t>Financial analysis and serviceability modelling   •   Regulatory compliance (NCCP Act, responsible lending obligations)   •   Comparing loan products and interest rates across multiple lender panels   •   Mortgage origination software (Encompass, Broker Portal)   •   CRM systems for client pipeline management   •   Stakeholder management with lenders, valuers and settlement agents   •   Loan comparison platforms and financial calculators   •   Written communication for loan documentation and client correspondence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Mortgage Broker</w:t>
      </w:r>
      <w:r>
        <w:t>, [Company Name], [City]</w:t>
      </w:r>
      <w:r>
        <w:rPr>
          <w:i/>
        </w:rPr>
        <w:tab/>
        <w:t>[Month Year] – [Month Year / Present]</w:t>
      </w:r>
    </w:p>
    <w:p>
      <w:pPr>
        <w:pStyle w:val="ListBullet"/>
        <w:spacing w:after="80" w:line="276" w:lineRule="auto"/>
      </w:pPr>
      <w:r>
        <w:t>Assessed borrower financial circumstances and serviceability against lending criteria for a caseload ranging from first home buyers to property investors</w:t>
      </w:r>
    </w:p>
    <w:p>
      <w:pPr>
        <w:pStyle w:val="ListBullet"/>
        <w:spacing w:after="80" w:line="276" w:lineRule="auto"/>
      </w:pPr>
      <w:r>
        <w:t>Compared loan products, interest rates and terms across multiple lender panels to match clients with competitive, suitable finance options</w:t>
      </w:r>
    </w:p>
    <w:p>
      <w:pPr>
        <w:pStyle w:val="ListBullet"/>
        <w:spacing w:after="80" w:line="276" w:lineRule="auto"/>
      </w:pPr>
      <w:r>
        <w:t>Prepared and submitted loan applications and supporting documentation, reducing follow-up queries from credit assessors through thorough upfront checks</w:t>
      </w:r>
    </w:p>
    <w:p>
      <w:pPr>
        <w:pStyle w:val="ListBullet"/>
        <w:spacing w:after="80" w:line="276" w:lineRule="auto"/>
      </w:pPr>
      <w:r>
        <w:t>Negotiated loan terms with lenders and managed client expectations through underwriting and approval stages</w:t>
      </w:r>
    </w:p>
    <w:p>
      <w:pPr>
        <w:pStyle w:val="ListBullet"/>
        <w:spacing w:after="80" w:line="276" w:lineRule="auto"/>
      </w:pPr>
      <w:r>
        <w:t>Coordinated with lenders, valuers and settlement agents to keep settlements on track and avoid last-minute delays</w:t>
      </w:r>
    </w:p>
    <w:p>
      <w:pPr>
        <w:pStyle w:val="ListBullet"/>
        <w:spacing w:after="240" w:line="276" w:lineRule="auto"/>
      </w:pPr>
      <w:r>
        <w:t>Maintained CRM records and documentation in line with responsible lending obligations under the NCCP Act</w:t>
      </w:r>
    </w:p>
    <w:p>
      <w:pPr>
        <w:spacing w:before="280" w:after="120"/>
        <w:jc w:val="left"/>
        <w:pBdr>
          <w:bottom w:val="single" w:sz="6" w:space="4" w:color="DFDED8"/>
        </w:pBdr>
      </w:pPr>
      <w:r>
        <w:rPr>
          <w:b/>
          <w:color w:val="2F62D9"/>
          <w:sz w:val="22"/>
        </w:rPr>
        <w:t>EDUCATION</w:t>
      </w:r>
    </w:p>
    <w:p>
      <w:pPr>
        <w:spacing w:before="0" w:after="200"/>
        <w:jc w:val="left"/>
      </w:pPr>
      <w:r>
        <w:t>Minimum entry via Certificate IV in Finance and Mortgage Broking (FNS40821), with many brokers progressing to a Diploma of Finance and Mortgage Broking Management or holding a bachelor degree in commerce, finance or business; membership with the MFAA or FBAA and an Australian Credit Licence or credit representative status are standard industry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