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Myotherapist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Myotherapist qualified through the VET pathway, working in private clinics and sports settings with clients dealing with musculoskeletal pain, restricted movement and postural problems. Combines hands-on treatment, dry needling and corrective exercise with clear self-management education so clients can keep progressing between sessions. Comfortable working alongside physiotherapists, GPs and strength coaches, and referring on when a presentation sits outside myotherapy scope.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of posture, movement patterns and musculoskeletal presentation   •   Manual therapy including soft tissue massage, myofascial release and joint mobilisation   •   Dry needling and adjunct therapies such as TENS and ultrasound   •   Individualised treatment and management planning   •   Corrective exercise prescription and self-management education   •   Clinical note keeping in Cliniko, Power Diary and Halaxy   •   Infection control, sharps disposal and treatment room hygiene   •   Anatomy reference and client education using Complete Anatomy   •   Health fund claims and HICAPS processing   •   Empathy and clear communication with clients in pain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Myotherapist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and treated a caseload of up to 25 clients a week presenting with neck, shoulder, lower back and hip complaints, using soft tissue work, joint mobilisation and dry needling where clinically indicated.</w:t>
      </w:r>
    </w:p>
    <w:p>
      <w:pPr>
        <w:pStyle w:val="ListBullet"/>
        <w:spacing w:after="80" w:line="276" w:lineRule="auto"/>
      </w:pPr>
      <w:r>
        <w:t>Built individualised management plans that paired in-clinic treatment with corrective exercise, so clients could keep progressing between appointments without relying on passive treatment alone.</w:t>
      </w:r>
    </w:p>
    <w:p>
      <w:pPr>
        <w:pStyle w:val="ListBullet"/>
        <w:spacing w:after="80" w:line="276" w:lineRule="auto"/>
      </w:pPr>
      <w:r>
        <w:t>Maintained SOAP-format clinical notes and consent records in Cliniko, keeping health fund claims, referral letters and audit requirements accurate and up to date.</w:t>
      </w:r>
    </w:p>
    <w:p>
      <w:pPr>
        <w:pStyle w:val="ListBullet"/>
        <w:spacing w:after="80" w:line="276" w:lineRule="auto"/>
      </w:pPr>
      <w:r>
        <w:t>Ran pre-season movement screening at a local sporting club, flagging restrictions early and referring presentations outside myotherapy scope to physiotherapy and GP care.</w:t>
      </w:r>
    </w:p>
    <w:p>
      <w:pPr>
        <w:pStyle w:val="ListBullet"/>
        <w:spacing w:after="80" w:line="276" w:lineRule="auto"/>
      </w:pPr>
      <w:r>
        <w:t>Delivered self-management education on load management, workstation setup and sleep position, which reduced repeat bookings for the same unresolved complaint.</w:t>
      </w:r>
    </w:p>
    <w:p>
      <w:pPr>
        <w:pStyle w:val="ListBullet"/>
        <w:spacing w:after="240" w:line="276" w:lineRule="auto"/>
      </w:pPr>
      <w:r>
        <w:t>Kept treatment rooms to infection control standards, including linen changeover, surface cleaning and safe sharps disposal after needling.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Certificate IV in Massage Therapy (HLT42015) followed by the Advanced Diploma of Myotherapy (22316VIC), with some practitioners entering via a Diploma of Remedial Massage or a health science degree plus a myotherapy qualification. Private health fund provider recognition and current first aid and CPR certification are standard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