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Naval Architect</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Naval Architect with a background in hull form design, stability analysis and structural compliance for commercial and defence vessels. Works across hydrodynamics, classification society rules and project delivery, using tools like Maxsurf and Rhino 3D to turn concepts into buildable designs. Focused on safe, efficient vessels that meet Australian and international maritime requirements.</w:t>
      </w:r>
    </w:p>
    <w:p>
      <w:pPr>
        <w:spacing w:before="280" w:after="120"/>
        <w:jc w:val="left"/>
        <w:pBdr>
          <w:bottom w:val="single" w:sz="6" w:space="4" w:color="DFDED8"/>
        </w:pBdr>
      </w:pPr>
      <w:r>
        <w:rPr>
          <w:b/>
          <w:color w:val="2F62D9"/>
          <w:sz w:val="22"/>
        </w:rPr>
        <w:t>KEY SKILLS</w:t>
      </w:r>
    </w:p>
    <w:p>
      <w:pPr>
        <w:spacing w:before="0" w:after="200"/>
        <w:jc w:val="left"/>
      </w:pPr>
      <w:r>
        <w:t>Engineering design and analysis   •   CAD and technical drawing   •   Project engineering and delivery   •   Data analysis   •   Project management   •   Hull form design and hydrostatic analysis   •   Intact and damage stability calculations   •   Structural analysis and finite element modelling   •   Classification society compliance (Lloyd's Register, DNV, ABS)   •   Australian Maritime Safety Authority (AMSA) regulations   •   Hydrodynamic modelling (Maxsurf, ANSYS)   •   Technical report writing and documentation   •   Towing tank testing and model scale evaluation   •   Maxsurf   •   Rhino 3D   •   AutoCAD   •   ANSYS   •   Siemens NX</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Naval Architect</w:t>
      </w:r>
      <w:r>
        <w:t>, [Company Name], [City]</w:t>
      </w:r>
      <w:r>
        <w:rPr>
          <w:i/>
        </w:rPr>
        <w:tab/>
        <w:t>[Month Year] – [Month Year / Present]</w:t>
      </w:r>
    </w:p>
    <w:p>
      <w:pPr>
        <w:pStyle w:val="ListBullet"/>
        <w:spacing w:after="80" w:line="276" w:lineRule="auto"/>
      </w:pPr>
      <w:r>
        <w:t>Developed hull form and structural designs for a 45-metre commercial vessel using Maxsurf and Rhino 3D, with model testing showing lower resistance than the baseline.</w:t>
      </w:r>
    </w:p>
    <w:p>
      <w:pPr>
        <w:pStyle w:val="ListBullet"/>
        <w:spacing w:after="80" w:line="276" w:lineRule="auto"/>
      </w:pPr>
      <w:r>
        <w:t>Calculated stability, buoyancy and load capacity for a fleet of offshore support vessels, preparing stability books that gained classification society approval without rework.</w:t>
      </w:r>
    </w:p>
    <w:p>
      <w:pPr>
        <w:pStyle w:val="ListBullet"/>
        <w:spacing w:after="80" w:line="276" w:lineRule="auto"/>
      </w:pPr>
      <w:r>
        <w:t>Prepared design drawings, specifications and technical reports for a defence shipbuilding project, coordinating with mechanical and electrical engineers to resolve interface issues before construction.</w:t>
      </w:r>
    </w:p>
    <w:p>
      <w:pPr>
        <w:pStyle w:val="ListBullet"/>
        <w:spacing w:after="80" w:line="276" w:lineRule="auto"/>
      </w:pPr>
      <w:r>
        <w:t>Advised on construction and repair compliance for commercial vessels, interpreting AMSA and NSCV requirements to keep clients on schedule.</w:t>
      </w:r>
    </w:p>
    <w:p>
      <w:pPr>
        <w:pStyle w:val="ListBullet"/>
        <w:spacing w:after="240" w:line="276" w:lineRule="auto"/>
      </w:pPr>
      <w:r>
        <w:t>Tested scale models in a towing tank and evaluated performance data to refine propeller and hull interactions, improving fuel efficiency across a series of tugboats.</w:t>
      </w:r>
    </w:p>
    <w:p>
      <w:pPr>
        <w:spacing w:before="280" w:after="120"/>
        <w:jc w:val="left"/>
        <w:pBdr>
          <w:bottom w:val="single" w:sz="6" w:space="4" w:color="DFDED8"/>
        </w:pBdr>
      </w:pPr>
      <w:r>
        <w:rPr>
          <w:b/>
          <w:color w:val="2F62D9"/>
          <w:sz w:val="22"/>
        </w:rPr>
        <w:t>EDUCATION</w:t>
      </w:r>
    </w:p>
    <w:p>
      <w:pPr>
        <w:spacing w:before="0" w:after="200"/>
        <w:jc w:val="left"/>
      </w:pPr>
      <w:r>
        <w:t>Bachelor of Engineering (Naval Architecture), or a Bachelor of Engineering (Mechanical) with naval architecture specialisation, followed by postgraduate study or Chartered status through Engineers Australia for many practitioners.</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