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Nurse Educator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Nurse with a postgraduate qualification in nursing education and extensive clinical experience. Skilled in designing and delivering simulation-based and online learning programs that meet NMBA standards and improve patient safety. Committed to mentoring the next generation of nurses and fostering a culture of continuous professional development.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Curriculum and lesson design   •   Student assessment and reporting   •   Clinical assessment and treatment   •   Health education and advice   •   Pastoral care and wellbeing   •   Moodle   •   Canvas LMS   •   PebblePad   •   Laerdal SimMan   •   Microsoft Teams   •   Written communication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Nurse Educator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delivered simulation-based education sessions using Laerdal SimMan for 120 nursing students per semester, improving their confidence in acute care scenarios.</w:t>
      </w:r>
    </w:p>
    <w:p>
      <w:pPr>
        <w:pStyle w:val="ListBullet"/>
        <w:spacing w:after="80" w:line="276" w:lineRule="auto"/>
      </w:pPr>
      <w:r>
        <w:t>Mentored and supervised 15 graduate nurses during their clinical rotations, with all achieving registration standards within the expected timeframe.</w:t>
      </w:r>
    </w:p>
    <w:p>
      <w:pPr>
        <w:pStyle w:val="ListBullet"/>
        <w:spacing w:after="80" w:line="276" w:lineRule="auto"/>
      </w:pPr>
      <w:r>
        <w:t>Updated curriculum materials for a Bachelor of Nursing unit in Canvas LMS, incorporating current NMBA standards and feedback from clinical partners.</w:t>
      </w:r>
    </w:p>
    <w:p>
      <w:pPr>
        <w:pStyle w:val="ListBullet"/>
        <w:spacing w:after="80" w:line="276" w:lineRule="auto"/>
      </w:pPr>
      <w:r>
        <w:t>Assessed clinical competence of 80 enrolled nurses across three hospital wards, providing structured feedback that led to targeted remedial training.</w:t>
      </w:r>
    </w:p>
    <w:p>
      <w:pPr>
        <w:pStyle w:val="ListBullet"/>
        <w:spacing w:after="80" w:line="276" w:lineRule="auto"/>
      </w:pPr>
      <w:r>
        <w:t>Facilitated online learning modules via Moodle for 200 staff completing mandatory manual handling training, reducing overdue completions from 30 to 5 within one quarter.</w:t>
      </w:r>
    </w:p>
    <w:p>
      <w:pPr>
        <w:pStyle w:val="ListBullet"/>
        <w:spacing w:after="240" w:line="276" w:lineRule="auto"/>
      </w:pPr>
      <w:r>
        <w:t>Collaborated with clinical educators to review and streamline assessment tools, cutting paperwork time by 2 hours per student per placement.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Registered Nurse (Division 1) with a Bachelor of Nursing and a postgraduate qualification in nursing education or a clinical specialty, such as a Graduate Certificate or Master of Nursing Education.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