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Nurse Researcher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Nurse Researcher with a clinical background in acute care and a postgraduate qualification in nursing research. Experienced in designing mixed-methods studies, managing ethics and grant applications, and translating findings into clinical guidelines. Combines statistical analysis and qualitative data skills to improve patient safety and health service delivery.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Clinical assessment and treatment   •   Patient care and support   •   Data analysis   •   Statistical modelling   •   Project management   •   REDCap   •   SPSS   •   NVivo   •   EndNote   •   Microsoft Excel   •   Written communication   •   Attention to detail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Nurse Researcher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Designed and led a mixed-methods study on medication safety in aged care, interviewing 25 nurses and analysing survey responses from 180 care staff, which informed a revised medication management policy.</w:t>
      </w:r>
    </w:p>
    <w:p>
      <w:pPr>
        <w:pStyle w:val="ListBullet"/>
        <w:spacing w:after="80" w:line="276" w:lineRule="auto"/>
      </w:pPr>
      <w:r>
        <w:t>Managed ethics applications and site governance for three concurrent studies, achieving approval across two hospital networks within a single review cycle.</w:t>
      </w:r>
    </w:p>
    <w:p>
      <w:pPr>
        <w:pStyle w:val="ListBullet"/>
        <w:spacing w:after="80" w:line="276" w:lineRule="auto"/>
      </w:pPr>
      <w:r>
        <w:t>Analysed patient outcomes data using SPSS and conducted thematic analysis in NVivo, identifying three key themes that shaped a new falls prevention program.</w:t>
      </w:r>
    </w:p>
    <w:p>
      <w:pPr>
        <w:pStyle w:val="ListBullet"/>
        <w:spacing w:after="80" w:line="276" w:lineRule="auto"/>
      </w:pPr>
      <w:r>
        <w:t>Prepared a successful grant submission for a nursing workforce study, securing funding to support a two-year project.</w:t>
      </w:r>
    </w:p>
    <w:p>
      <w:pPr>
        <w:pStyle w:val="ListBullet"/>
        <w:spacing w:after="80" w:line="276" w:lineRule="auto"/>
      </w:pPr>
      <w:r>
        <w:t>Published findings in peer-reviewed nursing journals and presented at two national conferences, contributing to updated clinical practice standards.</w:t>
      </w:r>
    </w:p>
    <w:p>
      <w:pPr>
        <w:pStyle w:val="ListBullet"/>
        <w:spacing w:after="240" w:line="276" w:lineRule="auto"/>
      </w:pPr>
      <w:r>
        <w:t>Collaborated with clinical teams to implement evidence-based changes, reducing the time from research completion to practice change from 12 months to 6 months.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Registered Nurse with Ahpra, typically holding a Bachelor of Nursing plus a Master of Nursing (Research) or PhD; many nurse researchers also complete postgraduate coursework in biostatistics or qualitative methods.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