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Obstetrician and Gynaecologist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Obstetrician and Gynaecologist with Fellowship of the Royal Australian and New Zealand College of Obstetricians and Gynaecologists (FRANZCOG) and AHPRA specialist registration. Experienced in managing complex pregnancies, performing gynaecological surgery and providing comprehensive antenatal and postnatal care. Committed to patient-centred care and continuous quality improvement in public and private hospital settings.</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Patient care and support   •   Care planning and coordination   •   Medication management   •   Infection control and hygiene   •   Obstetric ultrasound   •   Cardiotocography (CTG) interpretation   •   Laparoscopic surgery systems   •   Electronic medical records (Epic, Cerner)   •   Written communication   •   Problem solving   •   People leadership</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Obstetrician and Gynaecologist</w:t>
      </w:r>
      <w:r>
        <w:t>, [Company Name], [City]</w:t>
      </w:r>
      <w:r>
        <w:rPr>
          <w:i/>
        </w:rPr>
        <w:tab/>
        <w:t>[Month Year] – [Month Year / Present]</w:t>
      </w:r>
    </w:p>
    <w:p>
      <w:pPr>
        <w:pStyle w:val="ListBullet"/>
        <w:spacing w:after="80" w:line="276" w:lineRule="auto"/>
      </w:pPr>
      <w:r>
        <w:t>Managed a caseload of high-risk pregnancies, coordinating multidisciplinary care to reduce preterm birth complications and improve neonatal outcomes.</w:t>
      </w:r>
    </w:p>
    <w:p>
      <w:pPr>
        <w:pStyle w:val="ListBullet"/>
        <w:spacing w:after="80" w:line="276" w:lineRule="auto"/>
      </w:pPr>
      <w:r>
        <w:t>Performed over 150 laparoscopic procedures annually, including hysterectomies and ovarian cystectomies, with low rates of surgical complications.</w:t>
      </w:r>
    </w:p>
    <w:p>
      <w:pPr>
        <w:pStyle w:val="ListBullet"/>
        <w:spacing w:after="80" w:line="276" w:lineRule="auto"/>
      </w:pPr>
      <w:r>
        <w:t>Implemented enhanced recovery after surgery (ERAS) protocols for caesarean sections, cutting average postnatal length of stay from four days to three.</w:t>
      </w:r>
    </w:p>
    <w:p>
      <w:pPr>
        <w:pStyle w:val="ListBullet"/>
        <w:spacing w:after="80" w:line="276" w:lineRule="auto"/>
      </w:pPr>
      <w:r>
        <w:t>Provided antenatal care to a diverse patient population, achieving strong patient satisfaction and adherence to care plans.</w:t>
      </w:r>
    </w:p>
    <w:p>
      <w:pPr>
        <w:pStyle w:val="ListBullet"/>
        <w:spacing w:after="240" w:line="276" w:lineRule="auto"/>
      </w:pPr>
      <w:r>
        <w:t>Supervised and mentored junior medical staff and registrars, improving their clinical skills and confidence in obstetric emergencies.</w:t>
      </w:r>
    </w:p>
    <w:p>
      <w:pPr>
        <w:spacing w:before="280" w:after="120"/>
        <w:jc w:val="left"/>
        <w:pBdr>
          <w:bottom w:val="single" w:sz="6" w:space="4" w:color="DFDED8"/>
        </w:pBdr>
      </w:pPr>
      <w:r>
        <w:rPr>
          <w:b/>
          <w:color w:val="2F62D9"/>
          <w:sz w:val="22"/>
        </w:rPr>
        <w:t>EDUCATION</w:t>
      </w:r>
    </w:p>
    <w:p>
      <w:pPr>
        <w:spacing w:before="0" w:after="200"/>
        <w:jc w:val="left"/>
      </w:pPr>
      <w:r>
        <w:t>Bachelor of Medicine and Bachelor of Surgery (MBBS) or Doctor of Medicine (MD), followed by specialist training with the Royal Australian and New Zealand College of Obstetricians and Gynaecologists (RANZCOG) to achieve Fellowship (FRANZCOG).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