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Ophthalmologist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Ophthalmologist with specialist training in the diagnosis and surgical management of eye disease. Combines clinic-based assessment with cataract, glaucoma and refractive procedures across public and private settings. Committed to preserving sight through evidence-based care and clear patient communication.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  •   Patient care and support   •   Medication management   •   Optical coherence tomography (OCT) systems   •   Slit lamp biomicroscopes   •   Electronic medical records (EMR)   •   Fundus cameras   •   Ophthalmic surgical lasers   •   Attention to detail   •   Problem solving   •   Written communication   •   People leadership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Ophthalmologist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Diagnosed and managed ocular conditions including glaucoma, macular degeneration and diabetic retinopathy across a busy public hospital clinic.</w:t>
      </w:r>
    </w:p>
    <w:p>
      <w:pPr>
        <w:pStyle w:val="ListBullet"/>
        <w:spacing w:after="80" w:line="276" w:lineRule="auto"/>
      </w:pPr>
      <w:r>
        <w:t>Performed cataract surgery and intravitreal injections, maintaining a low rate of post-operative complications.</w:t>
      </w:r>
    </w:p>
    <w:p>
      <w:pPr>
        <w:pStyle w:val="ListBullet"/>
        <w:spacing w:after="80" w:line="276" w:lineRule="auto"/>
      </w:pPr>
      <w:r>
        <w:t>Reduced average wait time for routine glaucoma review from ten weeks to five by restructuring clinic templates and delegating follow-up imaging to orthoptists.</w:t>
      </w:r>
    </w:p>
    <w:p>
      <w:pPr>
        <w:pStyle w:val="ListBullet"/>
        <w:spacing w:after="80" w:line="276" w:lineRule="auto"/>
      </w:pPr>
      <w:r>
        <w:t>Interpreted OCT and fundus photography results to guide treatment decisions, documenting findings in the electronic medical record for multidisciplinary team use.</w:t>
      </w:r>
    </w:p>
    <w:p>
      <w:pPr>
        <w:pStyle w:val="ListBullet"/>
        <w:spacing w:after="240" w:line="276" w:lineRule="auto"/>
      </w:pPr>
      <w:r>
        <w:t>Supervised and mentored ophthalmology registrars and medical students, providing feedback on surgical technique and clinical reasoning.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Fellowship of the Royal Australian and New Zealand College of Ophthalmologists (RANZCO) following a medical degree such as a Bachelor of Medicine, Bachelor of Surgery, and prevocational hospital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