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Optometrist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optometrist experienced in comprehensive eye examinations, ocular disease detection and prescribing corrective and low-vision aids. Comfortable working across optical retail, community health or independent practice settings, with a focus on early glaucoma detection and clear patient communication. Registered with the Optometry Board of Australia and committed to ongoing CPD.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Visual acuity testing and refraction   •   Slit-lamp and tonometry examination   •   Glaucoma and ocular disease screening   •   OCT interpretation   •   Contact lens fitting and low-vision aid prescribing   •   Patient health education   •   Clinical record keeping and regulatory compliance   •   Stakeholder liaison with ophthalmologists and GPs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Optometrist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visual acuity and refraction assessments using phoropter and autorefractor for a high daily patient volume, maintaining consistent appointment throughput</w:t>
      </w:r>
    </w:p>
    <w:p>
      <w:pPr>
        <w:pStyle w:val="ListBullet"/>
        <w:spacing w:after="80" w:line="276" w:lineRule="auto"/>
      </w:pPr>
      <w:r>
        <w:t>Performed slit-lamp and tonometry examinations to screen for glaucoma and other ocular disease, flagging cases early for referral</w:t>
      </w:r>
    </w:p>
    <w:p>
      <w:pPr>
        <w:pStyle w:val="ListBullet"/>
        <w:spacing w:after="80" w:line="276" w:lineRule="auto"/>
      </w:pPr>
      <w:r>
        <w:t>Prescribed corrective lenses, contact lenses and low-vision aids tailored to individual patient needs and lifestyle</w:t>
      </w:r>
    </w:p>
    <w:p>
      <w:pPr>
        <w:pStyle w:val="ListBullet"/>
        <w:spacing w:after="80" w:line="276" w:lineRule="auto"/>
      </w:pPr>
      <w:r>
        <w:t>Advised patients on eye health, preventive care and lifestyle modifications, improving compliance with follow-up recall schedules</w:t>
      </w:r>
    </w:p>
    <w:p>
      <w:pPr>
        <w:pStyle w:val="ListBullet"/>
        <w:spacing w:after="240" w:line="276" w:lineRule="auto"/>
      </w:pPr>
      <w:r>
        <w:t>Maintained accurate clinical records and referred complex cases to ophthalmologists and allied health professionals in line with scope of practice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Bachelor's degree in vision science followed by a Master of Optometry (or an equivalent five-year integrated optometry degree), plus current registration with the Optometry Board of Australia via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