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Oral and Maxillofacial Surgeon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Dual-qualified oral and maxillofacial surgeon with specialist registration through AHPRA. Experienced in managing facial trauma, corrective jaw surgery, and reconstructive procedures in tertiary hospital and specialist practice settings. Committed to evidence-based care and close collaboration with orthodontic, plastic surgery, and allied health teams.</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3D surgical planning software   •   CT and MRI imaging systems   •   Electronic medical records (EMR)   •   Surgical navigation systems   •   Attention to detail   •   Problem solving   •   Written communication   •   Empathy and interpersonal care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Oral and Maxillofacial Surgeon</w:t>
      </w:r>
      <w:r>
        <w:t>, [Company Name], [City]</w:t>
      </w:r>
      <w:r>
        <w:rPr>
          <w:i/>
        </w:rPr>
        <w:tab/>
        <w:t>[Month Year] – [Month Year / Present]</w:t>
      </w:r>
    </w:p>
    <w:p>
      <w:pPr>
        <w:pStyle w:val="ListBullet"/>
        <w:spacing w:after="80" w:line="276" w:lineRule="auto"/>
      </w:pPr>
      <w:r>
        <w:t>Performed complex wisdom tooth extractions and corrective jaw surgery, reducing average patient recovery time by two days through refined minimally invasive techniques.</w:t>
      </w:r>
    </w:p>
    <w:p>
      <w:pPr>
        <w:pStyle w:val="ListBullet"/>
        <w:spacing w:after="80" w:line="276" w:lineRule="auto"/>
      </w:pPr>
      <w:r>
        <w:t>Managed facial trauma cases in a busy tertiary emergency department, coordinating with plastic surgery and neurosurgery to ensure timely fracture fixation.</w:t>
      </w:r>
    </w:p>
    <w:p>
      <w:pPr>
        <w:pStyle w:val="ListBullet"/>
        <w:spacing w:after="80" w:line="276" w:lineRule="auto"/>
      </w:pPr>
      <w:r>
        <w:t>Utilised 3D surgical planning software and surgical navigation to plan and execute precise reconstructive procedures, improving post-operative symmetry outcomes.</w:t>
      </w:r>
    </w:p>
    <w:p>
      <w:pPr>
        <w:pStyle w:val="ListBullet"/>
        <w:spacing w:after="80" w:line="276" w:lineRule="auto"/>
      </w:pPr>
      <w:r>
        <w:t>Collaborated with orthodontists on combined orthognathic cases, leading joint clinics that streamlined treatment planning from initial assessment to surgery.</w:t>
      </w:r>
    </w:p>
    <w:p>
      <w:pPr>
        <w:pStyle w:val="ListBullet"/>
        <w:spacing w:after="80" w:line="276" w:lineRule="auto"/>
      </w:pPr>
      <w:r>
        <w:t>Prescribed and administered anaesthesia, monitoring patients throughout procedures and adjusting sedation levels to maintain safety and comfort.</w:t>
      </w:r>
    </w:p>
    <w:p>
      <w:pPr>
        <w:pStyle w:val="ListBullet"/>
        <w:spacing w:after="240" w:line="276" w:lineRule="auto"/>
      </w:pPr>
      <w:r>
        <w:t>Maintained detailed electronic medical records and authored discharge summaries, ensuring clear communication for multidisciplinary teams.</w:t>
      </w:r>
    </w:p>
    <w:p>
      <w:pPr>
        <w:spacing w:before="280" w:after="120"/>
        <w:jc w:val="left"/>
        <w:pBdr>
          <w:bottom w:val="single" w:sz="6" w:space="4" w:color="DFDED8"/>
        </w:pBdr>
      </w:pPr>
      <w:r>
        <w:rPr>
          <w:b/>
          <w:color w:val="2F62D9"/>
          <w:sz w:val="22"/>
        </w:rPr>
        <w:t>EDUCATION</w:t>
      </w:r>
    </w:p>
    <w:p>
      <w:pPr>
        <w:spacing w:before="0" w:after="200"/>
        <w:jc w:val="left"/>
      </w:pPr>
      <w:r>
        <w:t>Bachelor of Dental Surgery or Doctor of Medicine, followed by specialist training in oral and maxillofacial surgery accredited by the Royal Australasian College of Dental Surgeons, and registration with the Dental Board of Australia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