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Orthopaedic Surgeon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Fellowship-trained Orthopaedic Surgeon with expertise in joint replacement, trauma and sports injury management. Skilled in advanced surgical techniques including navigation and custom implant planning, with a commitment to patient-centred care and multidisciplinary collaboration.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Patient care and support   •   Clinical assessment and treatment   •   Care planning and coordination   •   Electronic medical records (Epic)   •   PACS imaging software   •   Orthopaedic templating software (TraumaCad)   •   Surgical navigation systems   •   3D printing and custom implant planning   •   Problem solving   •   Attention to detail   •   Written communication   •   People leadership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Orthopaedic Surgeon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Performed over 200 joint replacement and fracture fixation procedures annually, consistently achieving low complication rates and high patient satisfaction.</w:t>
      </w:r>
    </w:p>
    <w:p>
      <w:pPr>
        <w:pStyle w:val="ListBullet"/>
        <w:spacing w:after="80" w:line="276" w:lineRule="auto"/>
      </w:pPr>
      <w:r>
        <w:t>Developed individualised post-operative rehabilitation plans in collaboration with physiotherapists, reducing average length of stay from five days to three.</w:t>
      </w:r>
    </w:p>
    <w:p>
      <w:pPr>
        <w:pStyle w:val="ListBullet"/>
        <w:spacing w:after="80" w:line="276" w:lineRule="auto"/>
      </w:pPr>
      <w:r>
        <w:t>Implemented 3D printing for custom implant planning, improving surgical precision and reducing operating time by 30 minutes per complex case.</w:t>
      </w:r>
    </w:p>
    <w:p>
      <w:pPr>
        <w:pStyle w:val="ListBullet"/>
        <w:spacing w:after="80" w:line="276" w:lineRule="auto"/>
      </w:pPr>
      <w:r>
        <w:t>Supervised and mentored junior registrars and residents, enhancing their surgical skills and clinical decision-making through structured teaching and feedback.</w:t>
      </w:r>
    </w:p>
    <w:p>
      <w:pPr>
        <w:pStyle w:val="ListBullet"/>
        <w:spacing w:after="240" w:line="276" w:lineRule="auto"/>
      </w:pPr>
      <w:r>
        <w:t>Led multidisciplinary team meetings to coordinate care for complex trauma patients, ensuring timely interventions and streamlined discharge planning.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Bachelor of Medicine, Bachelor of Surgery (MBBS) or Doctor of Medicine (MD), followed by internship, surgical training and Fellowship of the Royal Australasian College of Surgeons (FRACS).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