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Orthoptist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Orthoptist with a patient-centred approach to assessing and managing eye movement and binocular vision disorders. Experienced in diagnostic testing, strabismus and amblyopia management, and educating patients and families. Registered with the Australian Orthoptic Board and committed to collaborative care alongside ophthalmologists and optometrists.</w:t>
      </w:r>
    </w:p>
    <w:p>
      <w:pPr>
        <w:spacing w:before="280" w:after="120"/>
        <w:jc w:val="left"/>
        <w:pBdr>
          <w:bottom w:val="single" w:sz="6" w:space="4" w:color="DFDED8"/>
        </w:pBdr>
      </w:pPr>
      <w:r>
        <w:rPr>
          <w:b/>
          <w:color w:val="2F62D9"/>
          <w:sz w:val="22"/>
        </w:rPr>
        <w:t>KEY SKILLS</w:t>
      </w:r>
    </w:p>
    <w:p>
      <w:pPr>
        <w:spacing w:before="0" w:after="200"/>
        <w:jc w:val="left"/>
      </w:pPr>
      <w:r>
        <w:t>Clinical assessment of strabismus and amblyopia   •   Binocular vision and eye movement testing   •   Visual field testing and retinal imaging   •   Prism fitting and low vision aid management   •   Patient education and family support   •   Infection control and hygiene   •   Humphrey Visual Field Analyser   •   Slit lamp biomicroscope   •   Optical coherence tomography (OCT)   •   Autorefractor   •   Electronic medical records (EMR)   •   Written communication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Orthoptist</w:t>
      </w:r>
      <w:r>
        <w:t>, [Company Name], [City]</w:t>
      </w:r>
      <w:r>
        <w:rPr>
          <w:i/>
        </w:rPr>
        <w:tab/>
        <w:t>[Month Year] – [Month Year / Present]</w:t>
      </w:r>
    </w:p>
    <w:p>
      <w:pPr>
        <w:pStyle w:val="ListBullet"/>
        <w:spacing w:after="80" w:line="276" w:lineRule="auto"/>
      </w:pPr>
      <w:r>
        <w:t>Assessed eye movements, alignment and binocular vision for a paediatric caseload, developing individualised treatment plans that improved school participation for children with convergence insufficiency.</w:t>
      </w:r>
    </w:p>
    <w:p>
      <w:pPr>
        <w:pStyle w:val="ListBullet"/>
        <w:spacing w:after="80" w:line="276" w:lineRule="auto"/>
      </w:pPr>
      <w:r>
        <w:t>Performed Humphrey visual field testing and OCT imaging to support ophthalmologists in diagnosing and monitoring glaucoma and retinal conditions.</w:t>
      </w:r>
    </w:p>
    <w:p>
      <w:pPr>
        <w:pStyle w:val="ListBullet"/>
        <w:spacing w:after="80" w:line="276" w:lineRule="auto"/>
      </w:pPr>
      <w:r>
        <w:t>Managed strabismus and amblyopia clinics, fitting prisms and patching regimens that reduced patient-reported double vision and improved daily function.</w:t>
      </w:r>
    </w:p>
    <w:p>
      <w:pPr>
        <w:pStyle w:val="ListBullet"/>
        <w:spacing w:after="80" w:line="276" w:lineRule="auto"/>
      </w:pPr>
      <w:r>
        <w:t>Educated patients and families about eye conditions, treatment options and home exercises, increasing adherence to patching and prism use.</w:t>
      </w:r>
    </w:p>
    <w:p>
      <w:pPr>
        <w:pStyle w:val="ListBullet"/>
        <w:spacing w:after="240" w:line="276" w:lineRule="auto"/>
      </w:pPr>
      <w:r>
        <w:t>Maintained accurate electronic medical records and infection control standards across a busy outpatient eye clinic, supporting safe and efficient care.</w:t>
      </w:r>
    </w:p>
    <w:p>
      <w:pPr>
        <w:spacing w:before="280" w:after="120"/>
        <w:jc w:val="left"/>
        <w:pBdr>
          <w:bottom w:val="single" w:sz="6" w:space="4" w:color="DFDED8"/>
        </w:pBdr>
      </w:pPr>
      <w:r>
        <w:rPr>
          <w:b/>
          <w:color w:val="2F62D9"/>
          <w:sz w:val="22"/>
        </w:rPr>
        <w:t>EDUCATION</w:t>
      </w:r>
    </w:p>
    <w:p>
      <w:pPr>
        <w:spacing w:before="0" w:after="200"/>
        <w:jc w:val="left"/>
      </w:pPr>
      <w:r>
        <w:t>Entry is typically through a bachelor or master degree in orthoptics, with registration through the Australian Orthoptic Board. Postgraduate qualifications are common in the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