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Osteopath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osteopath with hands-on experience assessing and treating musculoskeletal dysfunction through manual techniques. Builds treatment plans from clinical assessment and patient history rather than treating symptoms in isolation. AHPRA-registered and committed to the continuing professional development required to maintain that registration.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planning   •   Osteopathic manipulation (articulation, soft tissue release, high-velocity thrust)   •   Care planning and coordination   •   Patient care and support   •   Regulatory compliance with AHPRA standards   •   Palpation and manual assessment   •   Imaging interpretation software   •   Patient management systems (e.g. Cliniko)   •   Treatment tables and resistance/exercise aids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Osteopath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physical examinations and palpation assessments for patients with acute and chronic musculoskeletal complaints, identifying structural causes to inform treatment direction</w:t>
      </w:r>
    </w:p>
    <w:p>
      <w:pPr>
        <w:pStyle w:val="ListBullet"/>
        <w:spacing w:after="80" w:line="276" w:lineRule="auto"/>
      </w:pPr>
      <w:r>
        <w:t>Applied a range of manipulation techniques including articulation, soft tissue release and high-velocity thrust across a regular weekly patient caseload</w:t>
      </w:r>
    </w:p>
    <w:p>
      <w:pPr>
        <w:pStyle w:val="ListBullet"/>
        <w:spacing w:after="80" w:line="276" w:lineRule="auto"/>
      </w:pPr>
      <w:r>
        <w:t>Developed individualised treatment plans from clinical assessment and health history, reviewing and adjusting the approach across multiple sessions as patients progressed</w:t>
      </w:r>
    </w:p>
    <w:p>
      <w:pPr>
        <w:pStyle w:val="ListBullet"/>
        <w:spacing w:after="80" w:line="276" w:lineRule="auto"/>
      </w:pPr>
      <w:r>
        <w:t>Educated patients on posture, ergonomics and self-management strategies to reduce recurrence of presenting complaints</w:t>
      </w:r>
    </w:p>
    <w:p>
      <w:pPr>
        <w:pStyle w:val="ListBullet"/>
        <w:spacing w:after="240" w:line="276" w:lineRule="auto"/>
      </w:pPr>
      <w:r>
        <w:t>Maintained clinical records in patient management systems to AHPRA documentation standards, supporting continuity of care between sessions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followed by a Master of Osteopathy (or equivalent five-year double degree) from an AHPRA-accredited Australian university, with current AHPRA registration and Osteopathy Board of Australia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