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Paediatric Surgeon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Paediatric surgeon with FRACS in Paediatric Surgery and experience across tertiary children's hospitals and specialist clinics. Provides family-centred operative care for neonates, children and adolescents, from diagnosis through to postoperative follow-up. Skilled in leading on-call teams, supervising trainees and managing complex congenital and acquired surgical conditions.</w:t>
      </w:r>
    </w:p>
    <w:p>
      <w:pPr>
        <w:spacing w:before="280" w:after="120"/>
        <w:jc w:val="left"/>
        <w:pBdr>
          <w:bottom w:val="single" w:sz="6" w:space="4" w:color="DFDED8"/>
        </w:pBdr>
      </w:pPr>
      <w:r>
        <w:rPr>
          <w:b/>
          <w:color w:val="2F62D9"/>
          <w:sz w:val="22"/>
        </w:rPr>
        <w:t>KEY SKILLS</w:t>
      </w:r>
    </w:p>
    <w:p>
      <w:pPr>
        <w:spacing w:before="0" w:after="200"/>
        <w:jc w:val="left"/>
      </w:pPr>
      <w:r>
        <w:t>Neonatal and paediatric surgical assessment   •   Emergency and elective paediatric operations   •   Family-centred consent and counselling   •   da Vinci robotic surgical system   •   PACS imaging systems   •   Epic electronic medical records   •   Theatre management systems   •   On-call roster leadership   •   Trainee supervision and teaching   •   Clinical governance and audit   •   Multidisciplinary team collaboration   •   Problem solving under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Paediatric Surgeon</w:t>
      </w:r>
      <w:r>
        <w:t>, [Company Name], [City]</w:t>
      </w:r>
      <w:r>
        <w:rPr>
          <w:i/>
        </w:rPr>
        <w:tab/>
        <w:t>[Month Year] – [Month Year / Present]</w:t>
      </w:r>
    </w:p>
    <w:p>
      <w:pPr>
        <w:pStyle w:val="ListBullet"/>
        <w:spacing w:after="80" w:line="276" w:lineRule="auto"/>
      </w:pPr>
      <w:r>
        <w:t>Performed elective and emergency paediatric operations across a tertiary children's hospital, including neonatal bowel obstruction and appendicectomy cases.</w:t>
      </w:r>
    </w:p>
    <w:p>
      <w:pPr>
        <w:pStyle w:val="ListBullet"/>
        <w:spacing w:after="80" w:line="276" w:lineRule="auto"/>
      </w:pPr>
      <w:r>
        <w:t>Led family-centred discussions for complex surgical consent, ensuring parents and carers understood risks, recovery steps and follow-up requirements.</w:t>
      </w:r>
    </w:p>
    <w:p>
      <w:pPr>
        <w:pStyle w:val="ListBullet"/>
        <w:spacing w:after="80" w:line="276" w:lineRule="auto"/>
      </w:pPr>
      <w:r>
        <w:t>Supervised junior trainees and registrars on the on-call roster, supporting safe handover and timely escalation for acute paediatric presentations.</w:t>
      </w:r>
    </w:p>
    <w:p>
      <w:pPr>
        <w:pStyle w:val="ListBullet"/>
        <w:spacing w:after="80" w:line="276" w:lineRule="auto"/>
      </w:pPr>
      <w:r>
        <w:t>Interpreted diagnostic imaging and pathology in PACS and Epic to guide operative planning for congenital anomalies and acquired conditions.</w:t>
      </w:r>
    </w:p>
    <w:p>
      <w:pPr>
        <w:pStyle w:val="ListBullet"/>
        <w:spacing w:after="80" w:line="276" w:lineRule="auto"/>
      </w:pPr>
      <w:r>
        <w:t>Contributed to theatre management system scheduling, reducing case cancellations through better preoperative coordination and communication with anaesthetic teams.</w:t>
      </w:r>
    </w:p>
    <w:p>
      <w:pPr>
        <w:pStyle w:val="ListBullet"/>
        <w:spacing w:after="240" w:line="276" w:lineRule="auto"/>
      </w:pPr>
      <w:r>
        <w:t>Managed a busy outpatient clinic, reviewing postoperative children and coordinating multidisciplinary follow-up with nursing, physiotherapy and dietetics.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internship and residency, then selection into the Royal Australasian College of Surgeons (RACS) paediatric surgery training program, leading to Fellowship of the Royal Australasian College of Surgeons (FRACS) in Paediatric Surgery.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