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Paralegal</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Detail-focused paralegal experienced in supporting solicitors across litigation and transactional matters, from drafting pleadings to managing case files under tight court deadlines. Comfortable working across legal databases and practice management software to keep matters organised and on schedule. Known for accuracy under pressure and clear communication with clients, counsel and court registries.</w:t>
      </w:r>
    </w:p>
    <w:p>
      <w:pPr>
        <w:spacing w:before="280" w:after="120"/>
        <w:jc w:val="left"/>
        <w:pBdr>
          <w:bottom w:val="single" w:sz="6" w:space="4" w:color="DFDED8"/>
        </w:pBdr>
      </w:pPr>
      <w:r>
        <w:rPr>
          <w:b/>
          <w:color w:val="2F62D9"/>
          <w:sz w:val="22"/>
        </w:rPr>
        <w:t>KEY SKILLS</w:t>
      </w:r>
    </w:p>
    <w:p>
      <w:pPr>
        <w:spacing w:before="0" w:after="200"/>
        <w:jc w:val="left"/>
      </w:pPr>
      <w:r>
        <w:t>Legal research   •   Drafting and contracts   •   Regulatory compliance   •   LexisNexis   •   Westlaw   •   Practice management software (LEAP, Clio)   •   Adobe Acrobat   •   Microsoft Word   •   Attention to detail   •   Stakeholder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Paralegal</w:t>
      </w:r>
      <w:r>
        <w:t>, [Company Name], [City]</w:t>
      </w:r>
      <w:r>
        <w:rPr>
          <w:i/>
        </w:rPr>
        <w:tab/>
        <w:t>[Month Year] – [Month Year / Present]</w:t>
      </w:r>
    </w:p>
    <w:p>
      <w:pPr>
        <w:pStyle w:val="ListBullet"/>
        <w:spacing w:after="80" w:line="276" w:lineRule="auto"/>
      </w:pPr>
      <w:r>
        <w:t>Drafted letters, contracts, pleadings and agreements for review by supervising solicitors, reducing turnaround time on routine correspondence</w:t>
      </w:r>
    </w:p>
    <w:p>
      <w:pPr>
        <w:pStyle w:val="ListBullet"/>
        <w:spacing w:after="80" w:line="276" w:lineRule="auto"/>
      </w:pPr>
      <w:r>
        <w:t>Conducted legal research across case law, legislation and secondary sources using LexisNexis and Westlaw to support matter strategy and advice</w:t>
      </w:r>
    </w:p>
    <w:p>
      <w:pPr>
        <w:pStyle w:val="ListBullet"/>
        <w:spacing w:after="80" w:line="276" w:lineRule="auto"/>
      </w:pPr>
      <w:r>
        <w:t>Organised and maintained case files, evidence registers and court documents across an active caseload, ensuring nothing was missed ahead of filing deadlines</w:t>
      </w:r>
    </w:p>
    <w:p>
      <w:pPr>
        <w:pStyle w:val="ListBullet"/>
        <w:spacing w:after="80" w:line="276" w:lineRule="auto"/>
      </w:pPr>
      <w:r>
        <w:t>Managed client and court communications, including liaising with registries, opposing solicitors and other legal professionals on procedural matters</w:t>
      </w:r>
    </w:p>
    <w:p>
      <w:pPr>
        <w:pStyle w:val="ListBullet"/>
        <w:spacing w:after="80" w:line="276" w:lineRule="auto"/>
      </w:pPr>
      <w:r>
        <w:t>Assisted with trial preparation, including briefing counsel, compiling court books and attending proceedings to support the legal team</w:t>
      </w:r>
    </w:p>
    <w:p>
      <w:pPr>
        <w:pStyle w:val="ListBullet"/>
        <w:spacing w:after="240" w:line="276" w:lineRule="auto"/>
      </w:pPr>
      <w:r>
        <w:t>Tracked matter deadlines and limitation periods within the firm's practice management system, flagging risks to supervising solicitors ahead of time</w:t>
      </w:r>
    </w:p>
    <w:p>
      <w:pPr>
        <w:spacing w:before="280" w:after="120"/>
        <w:jc w:val="left"/>
        <w:pBdr>
          <w:bottom w:val="single" w:sz="6" w:space="4" w:color="DFDED8"/>
        </w:pBdr>
      </w:pPr>
      <w:r>
        <w:rPr>
          <w:b/>
          <w:color w:val="2F62D9"/>
          <w:sz w:val="22"/>
        </w:rPr>
        <w:t>EDUCATION</w:t>
      </w:r>
    </w:p>
    <w:p>
      <w:pPr>
        <w:spacing w:before="0" w:after="200"/>
        <w:jc w:val="left"/>
      </w:pPr>
      <w:r>
        <w:t>Typical pathway is a Diploma of Paralegal Services through TAFE or a registered training organisation, or a Bachelor of Laws/Justice without seeking admission; some paralegals enter via a Certificate IV in Legal Services combined with on-the-job training.</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