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Plastic Surgeon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Plastic Surgeon with fellowship of the Royal Australasian College of Surgeons, experienced in reconstructive and cosmetic procedures across public and private hospitals. Skilled in microsurgical free flap transfers, breast reconstruction and facial trauma repair, with a strong commitment to patient-centred care, surgical training and clinical governance. Holds current registration with the Medical Board of Australia and works across both elective and emergency surgical settings.</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   Patient care and support   •   Infection control and hygiene   •   Epic   •   Sectra PACS   •   Materialise ProPlan CMF   •   Crisalix   •   DICOM viewing software   •   Attention to detail   •   Problem solving   •   Written communication   •   People leadership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Plastic Surgeon</w:t>
      </w:r>
      <w:r>
        <w:t>, [Company Name], [City]</w:t>
      </w:r>
      <w:r>
        <w:rPr>
          <w:i/>
        </w:rPr>
        <w:tab/>
        <w:t>[Month Year] – [Month Year / Present]</w:t>
      </w:r>
    </w:p>
    <w:p>
      <w:pPr>
        <w:pStyle w:val="ListBullet"/>
        <w:spacing w:after="80" w:line="276" w:lineRule="auto"/>
      </w:pPr>
      <w:r>
        <w:t>Performed over 150 reconstructive procedures each year, including breast reconstruction, skin grafting and cleft lip and palate repair, consistently achieving functional and aesthetic outcomes that met patient goals.</w:t>
      </w:r>
    </w:p>
    <w:p>
      <w:pPr>
        <w:pStyle w:val="ListBullet"/>
        <w:spacing w:after="80" w:line="276" w:lineRule="auto"/>
      </w:pPr>
      <w:r>
        <w:t>Led microsurgical free flap transfers for head and neck reconstruction, coordinating a multidisciplinary team to reduce flap failure rates through meticulous postoperative monitoring.</w:t>
      </w:r>
    </w:p>
    <w:p>
      <w:pPr>
        <w:pStyle w:val="ListBullet"/>
        <w:spacing w:after="80" w:line="276" w:lineRule="auto"/>
      </w:pPr>
      <w:r>
        <w:t>Streamlined wound care protocols across a 24-bed surgical unit, cutting unplanned readmissions by earlier detection of complications.</w:t>
      </w:r>
    </w:p>
    <w:p>
      <w:pPr>
        <w:pStyle w:val="ListBullet"/>
        <w:spacing w:after="80" w:line="276" w:lineRule="auto"/>
      </w:pPr>
      <w:r>
        <w:t>Supervised and mentored six plastic surgery registrars annually, with all trainees progressing to the next stage of RACS training.</w:t>
      </w:r>
    </w:p>
    <w:p>
      <w:pPr>
        <w:pStyle w:val="ListBullet"/>
        <w:spacing w:after="240" w:line="276" w:lineRule="auto"/>
      </w:pPr>
      <w:r>
        <w:t>Contributed to surgical audit and research, presenting findings at departmental meetings that informed changes to antibiotic prophylaxis guidelines.</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(MBBS) or Doctor of Medicine (MD), followed by internship and residency, then specialist training through the Royal Australasian College of Surgeons leading to Fellowship in Plastic Surgery (FRACS Plast).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