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Plumbing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Plumbing Inspector with a licensed plumbing and gasfitting background, assessing sanitary plumbing, drainage and gas installations against the Plumbing Code of Australia and AS/NZS 3500. Experienced in rough-in and final inspections, pressure and backflow testing, and issuing clear compliance or defect outcomes for councils, water authorities and private certifiers. Known for practical advice that helps licensed plumbers and builders close out issues without compromising safety.</w:t>
      </w:r>
    </w:p>
    <w:p>
      <w:pPr>
        <w:spacing w:before="280" w:after="120"/>
        <w:jc w:val="left"/>
        <w:pBdr>
          <w:bottom w:val="single" w:sz="6" w:space="4" w:color="DFDED8"/>
        </w:pBdr>
      </w:pPr>
      <w:r>
        <w:rPr>
          <w:b/>
          <w:color w:val="2F62D9"/>
          <w:sz w:val="22"/>
        </w:rPr>
        <w:t>KEY SKILLS</w:t>
      </w:r>
    </w:p>
    <w:p>
      <w:pPr>
        <w:spacing w:before="0" w:after="200"/>
        <w:jc w:val="left"/>
      </w:pPr>
      <w:r>
        <w:t>Plumbing Code of Australia and AS/NZS 3500 compliance assessment   •   Rough-in and final inspection of sanitary plumbing, drainage and gas work   •   Backflow prevention testing and review   •   Pressure and flow test verification   •   Drain inspection camera operation   •   Water authority compliance portals   •   Council asset and inspection record systems   •   Certificates of compliance and defect notices   •   Regulatory compliance and evidence-based reporting   •   Worksite safety management and WHS obligations   •   Stakeholder advice for licensed plumbers, builders and property owners   •   Attention to detail and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Plumbing Inspector</w:t>
      </w:r>
      <w:r>
        <w:t>, [Company Name], [City]</w:t>
      </w:r>
      <w:r>
        <w:rPr>
          <w:i/>
        </w:rPr>
        <w:tab/>
        <w:t>[Month Year] – [Month Year / Present]</w:t>
      </w:r>
    </w:p>
    <w:p>
      <w:pPr>
        <w:pStyle w:val="ListBullet"/>
        <w:spacing w:after="80" w:line="276" w:lineRule="auto"/>
      </w:pPr>
      <w:r>
        <w:t>Inspected sanitary plumbing, drainage and gas installations at rough-in and completion stages across residential and commercial projects, comparing work with the Plumbing Code of Australia, AS/NZS 3500 and local water authority requirements.</w:t>
      </w:r>
    </w:p>
    <w:p>
      <w:pPr>
        <w:pStyle w:val="ListBullet"/>
        <w:spacing w:after="80" w:line="276" w:lineRule="auto"/>
      </w:pPr>
      <w:r>
        <w:t>Reviewed plans, specifications and test certificates before inspection, identifying compliance gaps early and reducing avoidable return visits.</w:t>
      </w:r>
    </w:p>
    <w:p>
      <w:pPr>
        <w:pStyle w:val="ListBullet"/>
        <w:spacing w:after="80" w:line="276" w:lineRule="auto"/>
      </w:pPr>
      <w:r>
        <w:t>Witnessed and assessed pressure, flow and backflow prevention tests, recording results accurately in water authority portals and council inspection systems.</w:t>
      </w:r>
    </w:p>
    <w:p>
      <w:pPr>
        <w:pStyle w:val="ListBullet"/>
        <w:spacing w:after="80" w:line="276" w:lineRule="auto"/>
      </w:pPr>
      <w:r>
        <w:t>Issued certificates of compliance, defect notices and rectification directions with clear reasons and practical timeframes.</w:t>
      </w:r>
    </w:p>
    <w:p>
      <w:pPr>
        <w:pStyle w:val="ListBullet"/>
        <w:spacing w:after="80" w:line="276" w:lineRule="auto"/>
      </w:pPr>
      <w:r>
        <w:t>Advised licensed plumbers, builders and property owners on compliant fixes, helping resolve on-site disagreements without escalation.</w:t>
      </w:r>
    </w:p>
    <w:p>
      <w:pPr>
        <w:pStyle w:val="ListBullet"/>
        <w:spacing w:after="80" w:line="276" w:lineRule="auto"/>
      </w:pPr>
      <w:r>
        <w:t>Used drain inspection cameras and test gauges to verify concealed drainage and backflow device performance, documenting evidence for enforcement or sign-off.</w:t>
      </w:r>
    </w:p>
    <w:p>
      <w:pPr>
        <w:pStyle w:val="ListBullet"/>
        <w:spacing w:after="240" w:line="276" w:lineRule="auto"/>
      </w:pPr>
      <w:r>
        <w:t>Maintained inspection records for audits and appeals, ensuring decisions were traceable to the relevant code clause or standard.</w:t>
      </w:r>
    </w:p>
    <w:p>
      <w:pPr>
        <w:spacing w:before="280" w:after="120"/>
        <w:jc w:val="left"/>
        <w:pBdr>
          <w:bottom w:val="single" w:sz="6" w:space="4" w:color="DFDED8"/>
        </w:pBdr>
      </w:pPr>
      <w:r>
        <w:rPr>
          <w:b/>
          <w:color w:val="2F62D9"/>
          <w:sz w:val="22"/>
        </w:rPr>
        <w:t>EDUCATION</w:t>
      </w:r>
    </w:p>
    <w:p>
      <w:pPr>
        <w:spacing w:before="0" w:after="200"/>
        <w:jc w:val="left"/>
      </w:pPr>
      <w:r>
        <w:t>Certificate IV in Plumbing and Services or equivalent trade qualification, plus a current plumbing and gasfitting licence; many inspectors also complete Certificate IV in Building and Construction (Building) or a diploma in building surveying, with on-the-job inspection experience under a senior inspector.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