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Podiatrist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podiatrist with clinical experience assessing and treating foot, ankle and lower limb conditions across diverse patient groups. Skilled in gait analysis, orthotic prescription and chronic wound management, with a strong focus on patient education and diabetic foot care. Comfortable working within multidisciplinary teams in private practice, aged care or hospital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gait analysis   •   Custom orthotic prescription and fitting   •   Wound care and diabetic foot management   •   Infection control and sterile technique   •   Patient education and self-management coaching   •   Care planning and multidisciplinary coordination   •   Podiatry assessment equipment (calliper, monofilament, biothesiometer)   •   Orthotic prescription software   •   Ultrasound imaging for soft tissue assessment   •   Electronic health records (EHR) documentation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Podiatrist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clinical assessments and gait analysis for patients presenting with biomechanical and lower limb pathology, informing individualised treatment plans</w:t>
      </w:r>
    </w:p>
    <w:p>
      <w:pPr>
        <w:pStyle w:val="ListBullet"/>
        <w:spacing w:after="80" w:line="276" w:lineRule="auto"/>
      </w:pPr>
      <w:r>
        <w:t>Prescribed and fitted custom orthotics and footwear modifications, improving mobility and reducing pain for patients with chronic biomechanical conditions</w:t>
      </w:r>
    </w:p>
    <w:p>
      <w:pPr>
        <w:pStyle w:val="ListBullet"/>
        <w:spacing w:after="80" w:line="276" w:lineRule="auto"/>
      </w:pPr>
      <w:r>
        <w:t>Delivered wound care and infection prevention for patients with diabetic foot complications and chronic ulcers, reducing risk of hospital admission</w:t>
      </w:r>
    </w:p>
    <w:p>
      <w:pPr>
        <w:pStyle w:val="ListBullet"/>
        <w:spacing w:after="80" w:line="276" w:lineRule="auto"/>
      </w:pPr>
      <w:r>
        <w:t>Educated patients and carers on footwear selection, foot hygiene and injury prevention, supporting long-term self-management</w:t>
      </w:r>
    </w:p>
    <w:p>
      <w:pPr>
        <w:pStyle w:val="ListBullet"/>
        <w:spacing w:after="80" w:line="276" w:lineRule="auto"/>
      </w:pPr>
      <w:r>
        <w:t>Liaised with GPs, endocrinologists and allied health colleagues to coordinate care plans for patients with complex or high-risk foot conditions</w:t>
      </w:r>
    </w:p>
    <w:p>
      <w:pPr>
        <w:pStyle w:val="ListBullet"/>
        <w:spacing w:after="240" w:line="276" w:lineRule="auto"/>
      </w:pPr>
      <w:r>
        <w:t>Maintained accurate clinical records in electronic health record systems in line with AHPRA documentation standards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Podiatry (or Bachelor of Podiatric Medicine) followed by registration with the Podiatry Board of Australia under AHPRA; many practitioners go on to postgraduate study in areas such as diabetes education, sports podiatry or wound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