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Primary School Teacher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Primary school teacher experienced in planning and delivering curriculum across literacy, numeracy, science and social studies for students in Years K to 6. Skilled at adapting lessons for students with disability, giftedness or English as an additional language, and at building trust with students, colleagues and families. Focused on running a calm, inclusive classroom where every student can make progress.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Curriculum and lesson design   •   Classroom and behaviour management   •   Student assessment and reporting   •   Pastoral care and wellbeing   •   Differentiated instruction for diverse learners   •   Seqta and Compass learning management systems   •   Microsoft Office / Google Workspace   •   Interactive whiteboards (Smartboard, Promethean)   •   Assessment tracking software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Primary School Teacher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Planned and delivered weekly literacy and numeracy lessons for a full class of K to 6 students, aligning content to the Australian Curriculum year-level outcomes</w:t>
      </w:r>
    </w:p>
    <w:p>
      <w:pPr>
        <w:pStyle w:val="ListBullet"/>
        <w:spacing w:after="80" w:line="276" w:lineRule="auto"/>
      </w:pPr>
      <w:r>
        <w:t>Managed classroom behaviour using a whole-school positive behaviour framework, keeping disruptions low and maintaining a settled learning environment</w:t>
      </w:r>
    </w:p>
    <w:p>
      <w:pPr>
        <w:pStyle w:val="ListBullet"/>
        <w:spacing w:after="80" w:line="276" w:lineRule="auto"/>
      </w:pPr>
      <w:r>
        <w:t>Adapted lesson content and assessment tasks for students with disability and English as an additional language, working from individual learning plans</w:t>
      </w:r>
    </w:p>
    <w:p>
      <w:pPr>
        <w:pStyle w:val="ListBullet"/>
        <w:spacing w:after="80" w:line="276" w:lineRule="auto"/>
      </w:pPr>
      <w:r>
        <w:t>Assessed student work through formative and summative tasks and reported progress to parents each semester via written reports and parent-teacher interviews</w:t>
      </w:r>
    </w:p>
    <w:p>
      <w:pPr>
        <w:pStyle w:val="ListBullet"/>
        <w:spacing w:after="240" w:line="276" w:lineRule="auto"/>
      </w:pPr>
      <w:r>
        <w:t>Collaborated with learning support staff, specialist teachers and families to coordinate wellbeing and learning goals for students needing extra support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of Education (Primary), or a Bachelor degree followed by a Master of Teaching (Primary), leading to registration with the relevant state or territory teacher regulatory authority such as NESA, VIT or QCT.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