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Professional Cricketer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Professional cricketer with a full domestic season behind me at state squad level, plus representative pathway cricket from under 17s through to under 19s. I combine a disciplined training and recovery routine with a genuine analytical approach to my own game, and I am comfortable in front of a camera or a room of junior players when the club needs it. Looking for a contract where I can hold a place in the XI, contribute to team tactics, and stay on the park across a long summer.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Batting and bowling technique maintenance across formats   •   Innings and match strategy development   •   Opposition analysis and pre-match planning   •   Performance data interpretation and video review   •   Load monitoring and injury prevention programs   •   Rehabilitation and graded return to play   •   Hawk-Eye   •   Catapult GPS   •   Dartfish   •   CricHQ   •   Sensible bat sensor   •   Media and community engagement   •   Time and deadline management across a touring calendar   •   People leadership within a playing group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Professional Cricketer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followed an individual skills and conditioning plan across pre-season and in-season blocks, holding bowling loads and fielding standards through a full domestic summer.</w:t>
      </w:r>
    </w:p>
    <w:p>
      <w:pPr>
        <w:pStyle w:val="ListBullet"/>
        <w:spacing w:after="80" w:line="276" w:lineRule="auto"/>
      </w:pPr>
      <w:r>
        <w:t>Reviewed opposition footage on Hawk-Eye and Dartfish before each fixture, then adjusted batting plans between innings and shared the findings with coaching staff.</w:t>
      </w:r>
    </w:p>
    <w:p>
      <w:pPr>
        <w:pStyle w:val="ListBullet"/>
        <w:spacing w:after="80" w:line="276" w:lineRule="auto"/>
      </w:pPr>
      <w:r>
        <w:t>Monitored training and match loads through Catapult GPS and worked with physiotherapy and strength staff to flag fatigue early, which kept soft tissue setbacks to a minimum across a compressed fixture period.</w:t>
      </w:r>
    </w:p>
    <w:p>
      <w:pPr>
        <w:pStyle w:val="ListBullet"/>
        <w:spacing w:after="80" w:line="276" w:lineRule="auto"/>
      </w:pPr>
      <w:r>
        <w:t>Recorded and reviewed match data in CricHQ and used the Sensible bat sensor in net sessions to check bat path and contact points when working through a technical change.</w:t>
      </w:r>
    </w:p>
    <w:p>
      <w:pPr>
        <w:pStyle w:val="ListBullet"/>
        <w:spacing w:after="80" w:line="276" w:lineRule="auto"/>
      </w:pPr>
      <w:r>
        <w:t>Completed a structured rehabilitation program after a side strain and progressed through graded return-to-play benchmarks to full training within the planned timeline.</w:t>
      </w:r>
    </w:p>
    <w:p>
      <w:pPr>
        <w:pStyle w:val="ListBullet"/>
        <w:spacing w:after="80" w:line="276" w:lineRule="auto"/>
      </w:pPr>
      <w:r>
        <w:t>Represented the club at school clinics, junior carnivals and sponsor events, running skills sessions and speaking to participants after matches.</w:t>
      </w:r>
    </w:p>
    <w:p>
      <w:pPr>
        <w:pStyle w:val="ListBullet"/>
        <w:spacing w:after="240" w:line="276" w:lineRule="auto"/>
      </w:pPr>
      <w:r>
        <w:t>Mentored first and second year squad members through their first senior pre-season, covering routine, recovery habits and how to read a bowler mid-innings.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a Bachelor of Exercise and Sport Science or a Diploma of Sport (Coaching), combined with selection through the Cricket Australia national talent pathway and Cricket Australia coaching accreditation at Level 1 and Level 2, with many players adding Certificate III or IV qualifications while contracted.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