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Professional Footballer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Professional footballer with experience competing at national league level, combining daily technical and tactical training with matchday performance. Skilled in GPS load monitoring, video analysis and injury prevention, with a strong record of maintaining availability across a season. Comfortable balancing media, community and sponsorship commitments alongside elite competition.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Tactical awareness and opposition analysis   •   Injury prevention and rehabilitation   •   Matchday performance under pressure   •   Media and community engagement   •   GPS load monitoring and reporting   •   Hudl Sportscode video analysis   •   Vald ForceDecks force plate testing   •   TeamBuildr strength and conditioning programming   •   Time and deadline management   •   People leadership   •   Safety and compliance awareness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Professional Footballer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Completed daily training sessions focused on technical skills, tactical shape and physical conditioning, maintaining availability for selection across a full season.</w:t>
      </w:r>
    </w:p>
    <w:p>
      <w:pPr>
        <w:pStyle w:val="ListBullet"/>
        <w:spacing w:after="80" w:line="276" w:lineRule="auto"/>
      </w:pPr>
      <w:r>
        <w:t>Analysed opposition footage using Hudl Sportscode to inform weekly tactical plans, contributing to team preparation for each fixture.</w:t>
      </w:r>
    </w:p>
    <w:p>
      <w:pPr>
        <w:pStyle w:val="ListBullet"/>
        <w:spacing w:after="80" w:line="276" w:lineRule="auto"/>
      </w:pPr>
      <w:r>
        <w:t>Reduced soft tissue injury recurrence by following individual prevention programs and reporting daily GPS load data through Catapult.</w:t>
      </w:r>
    </w:p>
    <w:p>
      <w:pPr>
        <w:pStyle w:val="ListBullet"/>
        <w:spacing w:after="80" w:line="276" w:lineRule="auto"/>
      </w:pPr>
      <w:r>
        <w:t>Represented the club at community events and media appearances, supporting sponsorship and fan engagement activities.</w:t>
      </w:r>
    </w:p>
    <w:p>
      <w:pPr>
        <w:pStyle w:val="ListBullet"/>
        <w:spacing w:after="80" w:line="276" w:lineRule="auto"/>
      </w:pPr>
      <w:r>
        <w:t>Maintained full availability across a 20-match season, contributing goals and assists in the front third.</w:t>
      </w:r>
    </w:p>
    <w:p>
      <w:pPr>
        <w:pStyle w:val="ListBullet"/>
        <w:spacing w:after="240" w:line="276" w:lineRule="auto"/>
      </w:pPr>
      <w:r>
        <w:t>Worked with medical staff to cut rehabilitation time from six weeks to four following a hamstring strain.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usually alongside elite junior development through a state institute of sport or national league academy.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