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Property Valuer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Property valuer with experience across residential and commercial valuations, delivering accurate market assessments for lending, insurance and legal purposes. Skilled in property inspection, comparable sales research and zoning analysis, with a strong focus on regulatory compliance and client advisory. Certified Practising Valuer committed to producing clear, defensible reports under tight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Data analysis   •   Economic modelling   •   Regulatory compliance   •   CoreLogic RP Data   •   Pricefinder   •   ValEx   •   Microsoft Excel   •   Attention to detail   •   Client relationships and advisory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Property Valuer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residential and commercial properties across metropolitan areas, recording condition, dimensions and features to support accurate valuation reports.</w:t>
      </w:r>
    </w:p>
    <w:p>
      <w:pPr>
        <w:pStyle w:val="ListBullet"/>
        <w:spacing w:after="80" w:line="276" w:lineRule="auto"/>
      </w:pPr>
      <w:r>
        <w:t>Researched comparable sales using CoreLogic RP Data and Pricefinder, reducing average research time from four hours to two per valuation.</w:t>
      </w:r>
    </w:p>
    <w:p>
      <w:pPr>
        <w:pStyle w:val="ListBullet"/>
        <w:spacing w:after="80" w:line="276" w:lineRule="auto"/>
      </w:pPr>
      <w:r>
        <w:t>Analysed zoning and planning rules to assess land-use potential, ensuring valuations accounted for development constraints and opportunities.</w:t>
      </w:r>
    </w:p>
    <w:p>
      <w:pPr>
        <w:pStyle w:val="ListBullet"/>
        <w:spacing w:after="80" w:line="276" w:lineRule="auto"/>
      </w:pPr>
      <w:r>
        <w:t>Prepared detailed valuation reports for lenders and clients, consistently meeting turnaround targets and maintaining a high level of accuracy.</w:t>
      </w:r>
    </w:p>
    <w:p>
      <w:pPr>
        <w:pStyle w:val="ListBullet"/>
        <w:spacing w:after="80" w:line="276" w:lineRule="auto"/>
      </w:pPr>
      <w:r>
        <w:t>Provided expert evidence at tribunals and courts for compulsory acquisition and family law matters, presenting clear and defensible conclusions.</w:t>
      </w:r>
    </w:p>
    <w:p>
      <w:pPr>
        <w:pStyle w:val="ListBullet"/>
        <w:spacing w:after="240" w:line="276" w:lineRule="auto"/>
      </w:pPr>
      <w:r>
        <w:t>Managed a portfolio of over 200 valuations annually, balancing inspections, research and reporting to meet client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Property, Economics or a related field, followed by supervised practice and Certified Practising Valuer (CPV) accreditation through the Australian Property Institute.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