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Psychotherapist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Accredited psychotherapist working with adults and young people on persistent anxiety, depression, trauma and relationship difficulties. Trained in psychodynamic and cognitive behavioural approaches, with a strong grounding in risk assessment, treatment planning and confidential record keeping. Works collaboratively with GPs, psychiatrists and community services, and maintains professional standing through peak body membership and regular clinical supervision.</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planning across psychodynamic, cognitive behavioural and systemic modalities   •   Delivering structured talking therapy over short and long-term episode of care   •   Risk assessment, safety planning and escalation to crisis services   •   Casework and client support, including referrals to GPs, psychiatry and community programs   •   Confidential case notes and session records that meet privacy and professional obligations   •   Practice management software including Cliniko, Halaxy and PowerDiary   •   Telehealth delivery via Zoom and secure video platforms   •   Medicare Online claiming and NDIS documentation where clients are eligible   •   Empathy and interpersonal care with clients in distress   •   Written communication for reports, referral letters and case reviews   •   Attention to detail in notes, consent and file management   •   Problem solving under pressure and sound clinical judgement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Psychotherapist</w:t>
      </w:r>
      <w:r>
        <w:t>, [Company Name], [City]</w:t>
      </w:r>
      <w:r>
        <w:rPr>
          <w:i/>
        </w:rPr>
        <w:tab/>
        <w:t>[Month Year] – [Month Year / Present]</w:t>
      </w:r>
    </w:p>
    <w:p>
      <w:pPr>
        <w:pStyle w:val="ListBullet"/>
        <w:spacing w:after="80" w:line="276" w:lineRule="auto"/>
      </w:pPr>
      <w:r>
        <w:t>Assessed new clients' psychological history, current concerns and risk factors, then agreed treatment goals and a written plan before the second session</w:t>
      </w:r>
    </w:p>
    <w:p>
      <w:pPr>
        <w:pStyle w:val="ListBullet"/>
        <w:spacing w:after="80" w:line="276" w:lineRule="auto"/>
      </w:pPr>
      <w:r>
        <w:t>Carried a caseload of around 30 clients across a mix of short-term and open-ended therapy, adjusting the modality as each client's needs shifted</w:t>
      </w:r>
    </w:p>
    <w:p>
      <w:pPr>
        <w:pStyle w:val="ListBullet"/>
        <w:spacing w:after="80" w:line="276" w:lineRule="auto"/>
      </w:pPr>
      <w:r>
        <w:t>Introduced routine outcome measures at intake, mid-treatment and discharge, which gave clients a clearer view of change and helped flag stalled cases earlier</w:t>
      </w:r>
    </w:p>
    <w:p>
      <w:pPr>
        <w:pStyle w:val="ListBullet"/>
        <w:spacing w:after="80" w:line="276" w:lineRule="auto"/>
      </w:pPr>
      <w:r>
        <w:t>Built referral relationships with local GPs and a community psychiatry service, reducing the time clients waited between a first appointment and a specialist review</w:t>
      </w:r>
    </w:p>
    <w:p>
      <w:pPr>
        <w:pStyle w:val="ListBullet"/>
        <w:spacing w:after="80" w:line="276" w:lineRule="auto"/>
      </w:pPr>
      <w:r>
        <w:t>Maintained confidential case notes in Cliniko within a day of each session so handover notes for colleagues were always current</w:t>
      </w:r>
    </w:p>
    <w:p>
      <w:pPr>
        <w:pStyle w:val="ListBullet"/>
        <w:spacing w:after="80" w:line="276" w:lineRule="auto"/>
      </w:pPr>
      <w:r>
        <w:t>Delivered telehealth sessions via Zoom to clients in regional areas who could not access face-to-face therapy</w:t>
      </w:r>
    </w:p>
    <w:p>
      <w:pPr>
        <w:pStyle w:val="ListBullet"/>
        <w:spacing w:after="80" w:line="276" w:lineRule="auto"/>
      </w:pPr>
      <w:r>
        <w:t>Escalated clients with escalating risk to crisis and after-hours services following the practice's safety protocol, and documented each step</w:t>
      </w:r>
    </w:p>
    <w:p>
      <w:pPr>
        <w:pStyle w:val="ListBullet"/>
        <w:spacing w:after="240" w:line="276" w:lineRule="auto"/>
      </w:pPr>
      <w:r>
        <w:t>Attended fortnightly clinical supervision and brought complex cases for review, which sharpened my formulation and treatment planning over time</w:t>
      </w:r>
    </w:p>
    <w:p>
      <w:pPr>
        <w:spacing w:before="280" w:after="120"/>
        <w:jc w:val="left"/>
        <w:pBdr>
          <w:bottom w:val="single" w:sz="6" w:space="4" w:color="DFDED8"/>
        </w:pBdr>
      </w:pPr>
      <w:r>
        <w:rPr>
          <w:b/>
          <w:color w:val="2F62D9"/>
          <w:sz w:val="22"/>
        </w:rPr>
        <w:t>EDUCATION</w:t>
      </w:r>
    </w:p>
    <w:p>
      <w:pPr>
        <w:spacing w:before="0" w:after="200"/>
        <w:jc w:val="left"/>
      </w:pPr>
      <w:r>
        <w:t>Master of Counselling and Psychotherapy, or a Graduate Diploma in Psychotherapy following an undergraduate degree in psychology, counselling or a related field, plus supervised clinical practice hours toward registration with a peak body such as PACFA or the ACA.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