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Racing Steward</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racing industry professional with a strong background in regulatory compliance and race day operations. Skilled in interpreting and applying the Australian Rules of Racing, conducting inquiries, and managing integrity matters. Committed to fair competition and the welfare of horses and participants.</w:t>
      </w:r>
    </w:p>
    <w:p>
      <w:pPr>
        <w:spacing w:before="280" w:after="120"/>
        <w:jc w:val="left"/>
        <w:pBdr>
          <w:bottom w:val="single" w:sz="6" w:space="4" w:color="DFDED8"/>
        </w:pBdr>
      </w:pPr>
      <w:r>
        <w:rPr>
          <w:b/>
          <w:color w:val="2F62D9"/>
          <w:sz w:val="22"/>
        </w:rPr>
        <w:t>KEY SKILLS</w:t>
      </w:r>
    </w:p>
    <w:p>
      <w:pPr>
        <w:spacing w:before="0" w:after="200"/>
        <w:jc w:val="left"/>
      </w:pPr>
      <w:r>
        <w:t>Regulatory compliance   •   Regulatory and administrative law   •   Risk and internal controls   •   Racing Australia Integrity Management System   •   Race day betting monitoring platforms   •   Video review and replay systems   •   Stewards reporting and case management software   •   Attention to detail   •   Written communication   •   Problem solving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Racing Steward</w:t>
      </w:r>
      <w:r>
        <w:t>, [Company Name], [City]</w:t>
      </w:r>
      <w:r>
        <w:rPr>
          <w:i/>
        </w:rPr>
        <w:tab/>
        <w:t>[Month Year] – [Month Year / Present]</w:t>
      </w:r>
    </w:p>
    <w:p>
      <w:pPr>
        <w:pStyle w:val="ListBullet"/>
        <w:spacing w:after="80" w:line="276" w:lineRule="auto"/>
      </w:pPr>
      <w:r>
        <w:t>Conducted inquiries into interference and riding tactics, applying the Australian Rules of Racing consistently across race meetings.</w:t>
      </w:r>
    </w:p>
    <w:p>
      <w:pPr>
        <w:pStyle w:val="ListBullet"/>
        <w:spacing w:after="80" w:line="276" w:lineRule="auto"/>
      </w:pPr>
      <w:r>
        <w:t>Reviewed race footage and betting data to identify integrity and welfare concerns, escalating serious matters to senior stewards.</w:t>
      </w:r>
    </w:p>
    <w:p>
      <w:pPr>
        <w:pStyle w:val="ListBullet"/>
        <w:spacing w:after="80" w:line="276" w:lineRule="auto"/>
      </w:pPr>
      <w:r>
        <w:t>Interviewed jockeys, trainers and licensed persons, preparing clear written reports and penalty recommendations.</w:t>
      </w:r>
    </w:p>
    <w:p>
      <w:pPr>
        <w:pStyle w:val="ListBullet"/>
        <w:spacing w:after="80" w:line="276" w:lineRule="auto"/>
      </w:pPr>
      <w:r>
        <w:t>Patrolled mounting yard and track to monitor conduct, addressing breaches of rules and welfare standards promptly.</w:t>
      </w:r>
    </w:p>
    <w:p>
      <w:pPr>
        <w:pStyle w:val="ListBullet"/>
        <w:spacing w:after="240" w:line="276" w:lineRule="auto"/>
      </w:pPr>
      <w:r>
        <w:t>Prepared case files for appeal bodies, ensuring decisions were well documented and defensible.</w:t>
      </w:r>
    </w:p>
    <w:p>
      <w:pPr>
        <w:spacing w:before="280" w:after="120"/>
        <w:jc w:val="left"/>
        <w:pBdr>
          <w:bottom w:val="single" w:sz="6" w:space="4" w:color="DFDED8"/>
        </w:pBdr>
      </w:pPr>
      <w:r>
        <w:rPr>
          <w:b/>
          <w:color w:val="2F62D9"/>
          <w:sz w:val="22"/>
        </w:rPr>
        <w:t>EDUCATION</w:t>
      </w:r>
    </w:p>
    <w:p>
      <w:pPr>
        <w:spacing w:before="0" w:after="200"/>
        <w:jc w:val="left"/>
      </w:pPr>
      <w:r>
        <w:t>Entry is typically through extensive experience as a jockey, trainer or racing administrator, with Year 12 or equivalent; some stewards hold a Certificate IV or diploma in racing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