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Radiation Oncologist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Radiation Oncologist with FRANZCR and AHPRA specialist registration, experienced in assessing, planning and delivering precise radiotherapy across a range of tumour sites. Skilled in CT-based and image-guided planning using Eclipse, Pinnacle and RayStation, with a strong focus on multidisciplinary care and patient support. Known for clear communication with patients, referrers and allied health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Care planning and coordination   •   Treatment planning with Eclipse   •   Treatment planning with Pinnacle   •   Treatment planning with RayStation   •   Oncology information systems (ARIA)   •   Image fusion and contouring (MIM Maestro)   •   Written communication   •   Attention to detail   •   Problem solving   •   Time and deadline management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Radiation Oncologist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newly referred patients by reviewing imaging, pathology and medical history, then determined appropriate radiotherapy approaches in consultation with the multidisciplinary team.</w:t>
      </w:r>
    </w:p>
    <w:p>
      <w:pPr>
        <w:pStyle w:val="ListBullet"/>
        <w:spacing w:after="80" w:line="276" w:lineRule="auto"/>
      </w:pPr>
      <w:r>
        <w:t>Planned and prescribed external beam radiotherapy for head and neck, breast, prostate and lung cases using Eclipse and Pinnacle, ensuring dose constraints for organs at risk were met.</w:t>
      </w:r>
    </w:p>
    <w:p>
      <w:pPr>
        <w:pStyle w:val="ListBullet"/>
        <w:spacing w:after="80" w:line="276" w:lineRule="auto"/>
      </w:pPr>
      <w:r>
        <w:t>Oversaw daily treatment delivery alongside radiation therapists, identifying setup variations early and adjusting plans to maintain accuracy and patient comfort.</w:t>
      </w:r>
    </w:p>
    <w:p>
      <w:pPr>
        <w:pStyle w:val="ListBullet"/>
        <w:spacing w:after="80" w:line="276" w:lineRule="auto"/>
      </w:pPr>
      <w:r>
        <w:t>Led weekly multidisciplinary team meetings with medical oncologists, radiation therapists, medical physicists and allied health, improving continuity for patients receiving combined modality treatment.</w:t>
      </w:r>
    </w:p>
    <w:p>
      <w:pPr>
        <w:pStyle w:val="ListBullet"/>
        <w:spacing w:after="80" w:line="276" w:lineRule="auto"/>
      </w:pPr>
      <w:r>
        <w:t>Documented treatment summaries and follow-up plans in ARIA, providing clear communication to referrers and general practitioners.</w:t>
      </w:r>
    </w:p>
    <w:p>
      <w:pPr>
        <w:pStyle w:val="ListBullet"/>
        <w:spacing w:after="80" w:line="276" w:lineRule="auto"/>
      </w:pPr>
      <w:r>
        <w:t>Supervised and mentored radiation oncology trainees and registrars, supporting their progression through RANZCR training requirements and contouring competency assessments.</w:t>
      </w:r>
    </w:p>
    <w:p>
      <w:pPr>
        <w:pStyle w:val="ListBullet"/>
        <w:spacing w:after="240" w:line="276" w:lineRule="auto"/>
      </w:pPr>
      <w:r>
        <w:t>Streamlined the referral review process by coordinating earlier imaging review, bringing forward planning for urgent cases and reducing avoidable delays.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Medicine, Bachelor of Surgery (or equivalent), followed by specialist training and Fellowship of the Royal Australian and New Zealand College of Radiologists (FRANZCR).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