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Radiation 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Radiation Therapist with experience delivering precise radiation treatment for patients with cancer and non-cancer conditions. Skilled in operating linear accelerators, performing CT simulations, and collaborating with radiation oncologists and medical physicists to optimise treatment outcomes. Committed to patient safety, comfort, and accurate treatment documentation.</w:t>
      </w:r>
    </w:p>
    <w:p>
      <w:pPr>
        <w:spacing w:before="280" w:after="120"/>
        <w:jc w:val="left"/>
        <w:pBdr>
          <w:bottom w:val="single" w:sz="6" w:space="4" w:color="DFDED8"/>
        </w:pBdr>
      </w:pPr>
      <w:r>
        <w:rPr>
          <w:b/>
          <w:color w:val="2F62D9"/>
          <w:sz w:val="22"/>
        </w:rPr>
        <w:t>KEY SKILLS</w:t>
      </w:r>
    </w:p>
    <w:p>
      <w:pPr>
        <w:spacing w:before="0" w:after="200"/>
        <w:jc w:val="left"/>
      </w:pPr>
      <w:r>
        <w:t>Patient positioning and immobilisation   •   Linear accelerator operation   •   CT simulation   •   Treatment planning review   •   Side effect monitoring and supportive care   •   Patient education and health advice   •   Care planning and coordination   •   Varian Eclipse   •   ARIA Oncology Information System   •   MOSAIQ   •   RayStation   •   Quality assurance checks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Radiation Therapist</w:t>
      </w:r>
      <w:r>
        <w:t>, [Company Name], [City]</w:t>
      </w:r>
      <w:r>
        <w:rPr>
          <w:i/>
        </w:rPr>
        <w:tab/>
        <w:t>[Month Year] – [Month Year / Present]</w:t>
      </w:r>
    </w:p>
    <w:p>
      <w:pPr>
        <w:pStyle w:val="ListBullet"/>
        <w:spacing w:after="80" w:line="276" w:lineRule="auto"/>
      </w:pPr>
      <w:r>
        <w:t>Delivered prescribed radiation doses using linear accelerators for a daily caseload of up to 30 patients, maintaining sub-millimetre accuracy through precise patient positioning and immobilisation.</w:t>
      </w:r>
    </w:p>
    <w:p>
      <w:pPr>
        <w:pStyle w:val="ListBullet"/>
        <w:spacing w:after="80" w:line="276" w:lineRule="auto"/>
      </w:pPr>
      <w:r>
        <w:t>Performed CT simulations and marked treatment areas, collaborating with radiation oncologists to ensure treatment plans matched clinical intent.</w:t>
      </w:r>
    </w:p>
    <w:p>
      <w:pPr>
        <w:pStyle w:val="ListBullet"/>
        <w:spacing w:after="80" w:line="276" w:lineRule="auto"/>
      </w:pPr>
      <w:r>
        <w:t>Monitored patients for side effects throughout treatment courses, providing timely supportive care and escalating concerns to the multidisciplinary team.</w:t>
      </w:r>
    </w:p>
    <w:p>
      <w:pPr>
        <w:pStyle w:val="ListBullet"/>
        <w:spacing w:after="80" w:line="276" w:lineRule="auto"/>
      </w:pPr>
      <w:r>
        <w:t>Conducted daily quality assurance checks on linear accelerators and treatment planning systems, identifying and resolving equipment issues before they affected patient schedules.</w:t>
      </w:r>
    </w:p>
    <w:p>
      <w:pPr>
        <w:pStyle w:val="ListBullet"/>
        <w:spacing w:after="80" w:line="276" w:lineRule="auto"/>
      </w:pPr>
      <w:r>
        <w:t>Maintained accurate treatment records in ARIA and MOSAIQ, ensuring compliance with departmental protocols and MRPBA standards.</w:t>
      </w:r>
    </w:p>
    <w:p>
      <w:pPr>
        <w:pStyle w:val="ListBullet"/>
        <w:spacing w:after="80" w:line="276" w:lineRule="auto"/>
      </w:pPr>
      <w:r>
        <w:t>Streamlined patient setup procedures for head and neck treatments, reducing average setup time from 15 minutes to 10 minutes per patient.</w:t>
      </w:r>
    </w:p>
    <w:p>
      <w:pPr>
        <w:pStyle w:val="ListBullet"/>
        <w:spacing w:after="240" w:line="276" w:lineRule="auto"/>
      </w:pPr>
      <w:r>
        <w:t>Led a patient education initiative that improved understanding of self-care strategies during treatment, resulting in fewer unplanned treatment interruptions.</w:t>
      </w:r>
    </w:p>
    <w:p>
      <w:pPr>
        <w:spacing w:before="280" w:after="120"/>
        <w:jc w:val="left"/>
        <w:pBdr>
          <w:bottom w:val="single" w:sz="6" w:space="4" w:color="DFDED8"/>
        </w:pBdr>
      </w:pPr>
      <w:r>
        <w:rPr>
          <w:b/>
          <w:color w:val="2F62D9"/>
          <w:sz w:val="22"/>
        </w:rPr>
        <w:t>EDUCATION</w:t>
      </w:r>
    </w:p>
    <w:p>
      <w:pPr>
        <w:spacing w:before="0" w:after="200"/>
        <w:jc w:val="left"/>
      </w:pPr>
      <w:r>
        <w:t>Bachelor of Radiation Therapy from an accredited Australian university, which includes clinical placements and leads to registration with the Medical Radiation Practice Board of Australia (MRPBA). Some therapists also complete a postgraduate qualification in radiation therapy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