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Radiologist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Radiologist with FRANZCR and AHPRA specialist registration, reporting across emergency, inpatient and outpatient imaging in public and private settings. Comfortable with high-volume CT, MRI and ultrasound lists, image-guided procedures and teaching registrars on rotation. Looking to join a department where structured reporting, multidisciplinary input and trainee supervision are treated as core work rather than extras.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Diagnostic reporting across X-ray, CT, MRI, ultrasound and nuclear medicine   •   Image-guided interventional procedures including biopsies and drainages   •   Clinical assessment and treatment planning in discussion with referring teams   •   Imaging protocol selection and optimisation for individual patients   •   Teaching and supervision of radiology registrars, trainees and medical students   •   Structured reporting and clear written communication of findings   •   Sectra PACS   •   GE Centricity PACS   •   Agfa IMPAX   •   Visage 7   •   Nuance PowerScribe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Radiologist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Reported emergency and inpatient CT, MRI and ultrasound studies on a rotating roster, keeping urgent reporting turnaround consistent through overnight and weekend shifts.</w:t>
      </w:r>
    </w:p>
    <w:p>
      <w:pPr>
        <w:pStyle w:val="ListBullet"/>
        <w:spacing w:after="80" w:line="276" w:lineRule="auto"/>
      </w:pPr>
      <w:r>
        <w:t>Performed ultrasound and CT-guided biopsies and drainages, adjusting approach on the table when initial access or patient positioning did not work.</w:t>
      </w:r>
    </w:p>
    <w:p>
      <w:pPr>
        <w:pStyle w:val="ListBullet"/>
        <w:spacing w:after="80" w:line="276" w:lineRule="auto"/>
      </w:pPr>
      <w:r>
        <w:t>Introduced structured report templates for a high-volume abdominal study, which reduced clarifying phone calls from referring teams about ambiguous findings.</w:t>
      </w:r>
    </w:p>
    <w:p>
      <w:pPr>
        <w:pStyle w:val="ListBullet"/>
        <w:spacing w:after="80" w:line="276" w:lineRule="auto"/>
      </w:pPr>
      <w:r>
        <w:t>Chaired a monthly discrepancy and quality review meeting, and turned the recurring themes into protocol changes adopted across the department.</w:t>
      </w:r>
    </w:p>
    <w:p>
      <w:pPr>
        <w:pStyle w:val="ListBullet"/>
        <w:spacing w:after="240" w:line="276" w:lineRule="auto"/>
      </w:pPr>
      <w:r>
        <w:t>Supervised registrars and medical students on rotation, running weekly case reviews and giving direct feedback on draft reports before they were released.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MBBS or MD followed by a hospital internship, then completion of the RANZCR training program and admission to fellowship (FRANZCR), with specialist registration through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