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Rehabilitation Medicine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Rehabilitation Medicine Physician with Fellowship of the Royal Australasian College of Physicians, experienced in leading multidisciplinary teams to restore function and independence for patients after stroke, brain injury, spinal cord injury and complex illness. Skilled in assessment, goal setting and management of spasticity and pain, with a strong commitment to patient-centred care and supervision of junior medical staff.</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Rehabilitation and therapy   •   Medication management   •   Patient care and support   •   Spasticity management including botulinum toxin injections   •   Multidisciplinary team leadership   •   Functional assessment using FIM/WeeFIM   •   Electronic medical records (Epic, Cerner, MedicalDirector)   •   Telehealth rehabilitation platforms   •   Goal setting with patients and families   •   Supervision of registrars and junior medical staff</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Rehabilitation Medicine Physician</w:t>
      </w:r>
      <w:r>
        <w:t>, [Company Name], [City]</w:t>
      </w:r>
      <w:r>
        <w:rPr>
          <w:i/>
        </w:rPr>
        <w:tab/>
        <w:t>[Month Year] – [Month Year / Present]</w:t>
      </w:r>
    </w:p>
    <w:p>
      <w:pPr>
        <w:pStyle w:val="ListBullet"/>
        <w:spacing w:after="80" w:line="276" w:lineRule="auto"/>
      </w:pPr>
      <w:r>
        <w:t>Led a multidisciplinary rehabilitation team of 12 clinicians, coordinating care plans for up to 20 inpatients, and reduced average length of stay from 30 to 24 days through structured weekly goal reviews.</w:t>
      </w:r>
    </w:p>
    <w:p>
      <w:pPr>
        <w:pStyle w:val="ListBullet"/>
        <w:spacing w:after="80" w:line="276" w:lineRule="auto"/>
      </w:pPr>
      <w:r>
        <w:t>Performed botulinum toxin injections for over 150 patients per year with spasticity, improving passive range of motion and easing nursing care needs.</w:t>
      </w:r>
    </w:p>
    <w:p>
      <w:pPr>
        <w:pStyle w:val="ListBullet"/>
        <w:spacing w:after="80" w:line="276" w:lineRule="auto"/>
      </w:pPr>
      <w:r>
        <w:t>Supervised and mentored 8 registrars and junior medical officers, with all trainees progressing to satisfactory completion of their rotations.</w:t>
      </w:r>
    </w:p>
    <w:p>
      <w:pPr>
        <w:pStyle w:val="ListBullet"/>
        <w:spacing w:after="80" w:line="276" w:lineRule="auto"/>
      </w:pPr>
      <w:r>
        <w:t>Implemented a telehealth follow-up clinic for rural patients, cutting travel-related cancellations from 15 per month to 4 per month.</w:t>
      </w:r>
    </w:p>
    <w:p>
      <w:pPr>
        <w:pStyle w:val="ListBullet"/>
        <w:spacing w:after="240" w:line="276" w:lineRule="auto"/>
      </w:pPr>
      <w:r>
        <w:t>Documented care plans and progress notes in Epic and Cerner, ensuring compliance with hospital accreditation standards.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(or Doctor of Medicine) from an Australian university, followed by internship and residency, then specialist training in Rehabilitation Medicine and Fellowship of the Royal Australasian College of Physicians (RACP).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