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Respiratory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Respiratory Physician with FRACP advanced training in respiratory and sleep medicine. Experienced in assessing and managing breathlessness, chronic cough, lung masses and sleep disorders across inpatient and outpatient settings. Committed to patient-centred care and supervising the next generation of physicians.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Care planning and coordination   •   Health education and advice   •   Electronic medical records (eMR)   •   Spirometry and lung function systems   •   Bronchoscopy equipment   •   Ventilator and NIV devices   •   Sleep study and polysomnography software   •   Written communication   •   Problem solving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Respiratory Physician</w:t>
      </w:r>
      <w:r>
        <w:t>, [Company Name], [City]</w:t>
      </w:r>
      <w:r>
        <w:rPr>
          <w:i/>
        </w:rPr>
        <w:tab/>
        <w:t>[Month Year] – [Month Year / Present]</w:t>
      </w:r>
    </w:p>
    <w:p>
      <w:pPr>
        <w:pStyle w:val="ListBullet"/>
        <w:spacing w:after="80" w:line="276" w:lineRule="auto"/>
      </w:pPr>
      <w:r>
        <w:t>Assessed and managed patients with breathlessness, chronic cough and sleep disorders in a busy outpatient clinic, reducing waiting times from six weeks to three.</w:t>
      </w:r>
    </w:p>
    <w:p>
      <w:pPr>
        <w:pStyle w:val="ListBullet"/>
        <w:spacing w:after="80" w:line="276" w:lineRule="auto"/>
      </w:pPr>
      <w:r>
        <w:t>Performed and interpreted lung function tests and bronchoscopy, improving diagnostic accuracy for complex airway disease.</w:t>
      </w:r>
    </w:p>
    <w:p>
      <w:pPr>
        <w:pStyle w:val="ListBullet"/>
        <w:spacing w:after="80" w:line="276" w:lineRule="auto"/>
      </w:pPr>
      <w:r>
        <w:t>Prescribed and monitored inhaled, oral and biologic therapies for asthma and COPD, leading to fewer emergency presentations for a cohort of 200 patients.</w:t>
      </w:r>
    </w:p>
    <w:p>
      <w:pPr>
        <w:pStyle w:val="ListBullet"/>
        <w:spacing w:after="80" w:line="276" w:lineRule="auto"/>
      </w:pPr>
      <w:r>
        <w:t>Managed inpatients on ventilators and non-invasive ventilation, coordinating with ICU and nursing staff to support timely weaning.</w:t>
      </w:r>
    </w:p>
    <w:p>
      <w:pPr>
        <w:pStyle w:val="ListBullet"/>
        <w:spacing w:after="240" w:line="276" w:lineRule="auto"/>
      </w:pPr>
      <w:r>
        <w:t>Supervised registrars and ran specialist respiratory and sleep clinics, mentoring junior staff in procedural skills and clinical reasoning.</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plus completion of the Royal Australasian College of Physicians (RACP) advanced training program in respiratory and sleep medicine.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