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School Principal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school leader with a track record across strategic planning, staff development and curriculum compliance. Comfortable managing budgets, facilities and regulatory obligations while keeping student achievement and wellbeing central to decision-making. Works closely with school boards, parents and education department contacts to keep the school accountable and improving.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Strategic planning and target setting   •   Budgeting and forecasting   •   Student assessment and reporting   •   Regulatory and curriculum compliance   •   Staff performance management and development   •   School management information systems (Sentral, TASS, SIPsis)   •   Microsoft 365 / Google Workspace   •   Education department reporting portals   •   Stakeholder and community engagement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School Principal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the school's strategic planning cycle, setting achievement targets and tracking progress through NAPLAN and internal assessment data</w:t>
      </w:r>
    </w:p>
    <w:p>
      <w:pPr>
        <w:pStyle w:val="ListBullet"/>
        <w:spacing w:after="80" w:line="276" w:lineRule="auto"/>
      </w:pPr>
      <w:r>
        <w:t>Recruited and mentored teaching and support staff, building induction processes that reduced early-career attrition</w:t>
      </w:r>
    </w:p>
    <w:p>
      <w:pPr>
        <w:pStyle w:val="ListBullet"/>
        <w:spacing w:after="80" w:line="276" w:lineRule="auto"/>
      </w:pPr>
      <w:r>
        <w:t>Managed the school's operating budget across staffing, facilities and programs, reallocating discretionary funds toward literacy and numeracy intervention without exceeding approved allocation</w:t>
      </w:r>
    </w:p>
    <w:p>
      <w:pPr>
        <w:pStyle w:val="ListBullet"/>
        <w:spacing w:after="80" w:line="276" w:lineRule="auto"/>
      </w:pPr>
      <w:r>
        <w:t>Oversaw curriculum delivery against state curriculum authority requirements, clearing an external compliance review with no major non-conformances</w:t>
      </w:r>
    </w:p>
    <w:p>
      <w:pPr>
        <w:pStyle w:val="ListBullet"/>
        <w:spacing w:after="80" w:line="276" w:lineRule="auto"/>
      </w:pPr>
      <w:r>
        <w:t>Represented the school with parent bodies, school council and the education department, lifting attendance at community consultation sessions</w:t>
      </w:r>
    </w:p>
    <w:p>
      <w:pPr>
        <w:pStyle w:val="ListBullet"/>
        <w:spacing w:after="240" w:line="276" w:lineRule="auto"/>
      </w:pPr>
      <w:r>
        <w:t>Coordinated staff scheduling and facilities maintenance to keep operations running smoothly across the school year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Education (or related discipline) followed by a postgraduate qualification such as a Master of Education or Educational Leadership, current teacher registration with the relevant state or territory authority, and progression through classroom teaching and middle leadership roles before principal appointment.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