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Secondary School Teacher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Secondary school teacher experienced in planning and delivering lessons aligned with the Australian Curriculum and VCE/HSC frameworks. Comfortable managing classroom behaviour, assessing student progress and supporting student wellbeing across Years 7 to 12. Works well within a faculty team to build consistent, curriculum-aligned resources.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Curriculum and lesson design aligned to Australian Curriculum and VCE/HSC   •   Classroom and behaviour management   •   Formative and summative student assessment and reporting   •   Pastoral care and student wellbeing support   •   Google Classroom and Canvas LMS administration   •   Microsoft Office and Google Workspace   •   Interactive whiteboard and smartboard-based instruction   •   Turnitin and gradebook software for assessment tracking   •   Parent and stakeholder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Secondary School Teacher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delivered lessons across multiple year levels aligned to curriculum outcomes, adjusting pacing and content to support mixed-ability classes.</w:t>
      </w:r>
    </w:p>
    <w:p>
      <w:pPr>
        <w:pStyle w:val="ListBullet"/>
        <w:spacing w:after="80" w:line="276" w:lineRule="auto"/>
      </w:pPr>
      <w:r>
        <w:t>Assessed student work through formative and summative tasks, providing written feedback that lifted assignment completion and resubmission rates.</w:t>
      </w:r>
    </w:p>
    <w:p>
      <w:pPr>
        <w:pStyle w:val="ListBullet"/>
        <w:spacing w:after="80" w:line="276" w:lineRule="auto"/>
      </w:pPr>
      <w:r>
        <w:t>Managed classroom behaviour and engagement strategies, reducing disruptive incidents and building a more inclusive learning environment.</w:t>
      </w:r>
    </w:p>
    <w:p>
      <w:pPr>
        <w:pStyle w:val="ListBullet"/>
        <w:spacing w:after="80" w:line="276" w:lineRule="auto"/>
      </w:pPr>
      <w:r>
        <w:t>Liaised with parents, guardians and pastoral care staff on student progress, contributing to improved attendance and engagement for students identified as at risk.</w:t>
      </w:r>
    </w:p>
    <w:p>
      <w:pPr>
        <w:pStyle w:val="ListBullet"/>
        <w:spacing w:after="240" w:line="276" w:lineRule="auto"/>
      </w:pPr>
      <w:r>
        <w:t>Collaborated with faculty colleagues to develop shared teaching resources and coordinate cross-curricular projects, reducing individual lesson preparation time across the department.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Education, or a bachelor degree in a teaching subject followed by a Graduate Diploma in Education or Master of Teaching, with registration through the relevant state or territory teacher regulatory authority (for example VIT, NESA, QCT or TRBWA) and a current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