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Sports Coach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Sports coach with experience planning periodised training programs and translating performance data into practical session adjustments. Comfortable working across individual athlete development and team tactics, with a focus on building both skill and competition readiness. Known for clear technical feedback and steady management of athlete wellbeing through a full competition calendar.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Periodised program design   •   Strategy and match tactics development   •   Video analysis (Dartfish, Kinovea)   •   Performance tracking (Wattbike, Tableau)   •   Session planning (TeamSnap, Hudl)   •   Fitness testing (force plates, lactate analysers)   •   Athlete mentoring and wellbeing support   •   People leadership   •   Time and deadline management   •   Client relationships and advisory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Sports Coach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periodised training programs aligned to competition calendars, adjusting load and intensity across pre-season, in-season and finals phases</w:t>
      </w:r>
    </w:p>
    <w:p>
      <w:pPr>
        <w:pStyle w:val="ListBullet"/>
        <w:spacing w:after="80" w:line="276" w:lineRule="auto"/>
      </w:pPr>
      <w:r>
        <w:t>Reviewed match and training footage using video analysis software to identify technical faults, cutting repeat errors in targeted skill areas</w:t>
      </w:r>
    </w:p>
    <w:p>
      <w:pPr>
        <w:pStyle w:val="ListBullet"/>
        <w:spacing w:after="80" w:line="276" w:lineRule="auto"/>
      </w:pPr>
      <w:r>
        <w:t>Ran fitness testing sessions with force plates and lactate analysers to set individual training zones for squad members</w:t>
      </w:r>
    </w:p>
    <w:p>
      <w:pPr>
        <w:pStyle w:val="ListBullet"/>
        <w:spacing w:after="80" w:line="276" w:lineRule="auto"/>
      </w:pPr>
      <w:r>
        <w:t>Managed team selection and in-game tactical calls across a full season, adapting strategy to opposition and injury availability</w:t>
      </w:r>
    </w:p>
    <w:p>
      <w:pPr>
        <w:pStyle w:val="ListBullet"/>
        <w:spacing w:after="80" w:line="276" w:lineRule="auto"/>
      </w:pPr>
      <w:r>
        <w:t>Mentored athletes on training adherence and motivation, supporting a noticeable lift in session attendance and engagement</w:t>
      </w:r>
    </w:p>
    <w:p>
      <w:pPr>
        <w:pStyle w:val="ListBullet"/>
        <w:spacing w:after="240" w:line="276" w:lineRule="auto"/>
      </w:pPr>
      <w:r>
        <w:t>Communicated performance feedback to athletes, parents and club officials, maintaining clear expectations around goals and progress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III/IV in Sport Coaching or a Bachelor degree in Sport Science/Exercise Science, combined with sport-specific accreditation through the relevant National Sporting Organisation under the National Coaching Accreditation Scheme, plus a current Working with Children Check and first aid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