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Strata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Organised and compliance-focused Strata Manager with experience managing residential and mixed-use schemes. Skilled in budgeting, levy collection, and coordinating maintenance and insurance across multiple buildings. Committed to transparent communication with owners committees and resolving disputes efficiently.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Budgeting and forecasting   •   Financial reporting   •   Operations management   •   STRATA Master   •   Console Cloud   •   Microsoft Excel   •   Property Tree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Strata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annual budgets and levy notices for a portfolio of 20 strata schemes, ensuring funds were allocated to maintenance and sinking fund reserves.</w:t>
      </w:r>
    </w:p>
    <w:p>
      <w:pPr>
        <w:pStyle w:val="ListBullet"/>
        <w:spacing w:after="80" w:line="276" w:lineRule="auto"/>
      </w:pPr>
      <w:r>
        <w:t>Reduced overdue levy accounts from 30 to 8 by implementing a structured reminder and payment plan process.</w:t>
      </w:r>
    </w:p>
    <w:p>
      <w:pPr>
        <w:pStyle w:val="ListBullet"/>
        <w:spacing w:after="80" w:line="276" w:lineRule="auto"/>
      </w:pPr>
      <w:r>
        <w:t>Coordinated urgent repairs and insurance renewals across a 150-lot complex, negotiating with contractors to keep costs within budget.</w:t>
      </w:r>
    </w:p>
    <w:p>
      <w:pPr>
        <w:pStyle w:val="ListBullet"/>
        <w:spacing w:after="80" w:line="276" w:lineRule="auto"/>
      </w:pPr>
      <w:r>
        <w:t>Chaired committee meetings and annual general meetings, minuting decisions and advising on by-law compliance.</w:t>
      </w:r>
    </w:p>
    <w:p>
      <w:pPr>
        <w:pStyle w:val="ListBullet"/>
        <w:spacing w:after="240" w:line="276" w:lineRule="auto"/>
      </w:pPr>
      <w:r>
        <w:t>Managed trust accounts and financial reporting using STRATA Master and Excel, reconciling transactions monthly.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Bachelor degree in business or property, a Diploma of Strata Community Management, or a Certificate IV in Strata Community Management, combined with state registration as a strata manager (e.g., NSW Fair Trading, Consumer Affairs Victoria).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