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Teacher Librarian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teacher and library professional with experience across primary and secondary settings. Combines classroom teaching with collection management and information literacy instruction, supporting students and staff to navigate print and digital resources. Committed to fostering reading engagement and research skills across the curriculum.</w:t>
      </w:r>
    </w:p>
    <w:p>
      <w:pPr>
        <w:spacing w:before="280" w:after="120"/>
        <w:jc w:val="left"/>
        <w:pBdr>
          <w:bottom w:val="single" w:sz="6" w:space="4" w:color="DFDED8"/>
        </w:pBdr>
      </w:pPr>
      <w:r>
        <w:rPr>
          <w:b/>
          <w:color w:val="2F62D9"/>
          <w:sz w:val="22"/>
        </w:rPr>
        <w:t>KEY SKILLS</w:t>
      </w:r>
    </w:p>
    <w:p>
      <w:pPr>
        <w:spacing w:before="0" w:after="200"/>
        <w:jc w:val="left"/>
      </w:pPr>
      <w:r>
        <w:t>Teaching and instruction   •   Curriculum and lesson design   •   Student assessment and reporting   •   Content creation and writing   •   Oliver (Softlink)   •   Follett Destiny   •   LibGuides   •   Google Workspace for Education   •   EBSCO databases   •   Digital literacy   •   Written communication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Teacher Librarian</w:t>
      </w:r>
      <w:r>
        <w:t>, [Company Name], [City]</w:t>
      </w:r>
      <w:r>
        <w:rPr>
          <w:i/>
        </w:rPr>
        <w:tab/>
        <w:t>[Month Year] – [Month Year / Present]</w:t>
      </w:r>
    </w:p>
    <w:p>
      <w:pPr>
        <w:pStyle w:val="ListBullet"/>
        <w:spacing w:after="80" w:line="276" w:lineRule="auto"/>
      </w:pPr>
      <w:r>
        <w:t>Collaborated with classroom teachers to design research tasks for a unit on sustainability, embedding information literacy skills into the assessment and lifting the quality of student bibliographies.</w:t>
      </w:r>
    </w:p>
    <w:p>
      <w:pPr>
        <w:pStyle w:val="ListBullet"/>
        <w:spacing w:after="80" w:line="276" w:lineRule="auto"/>
      </w:pPr>
      <w:r>
        <w:t>Introduced a reading challenge across Years 7 and 8 that increased library borrowing by around 200 loans over a term, tracked through the library management system.</w:t>
      </w:r>
    </w:p>
    <w:p>
      <w:pPr>
        <w:pStyle w:val="ListBullet"/>
        <w:spacing w:after="80" w:line="276" w:lineRule="auto"/>
      </w:pPr>
      <w:r>
        <w:t>Managed the library budget to refresh non-fiction collections, negotiating with suppliers to secure discounted bundle pricing and extend purchasing power.</w:t>
      </w:r>
    </w:p>
    <w:p>
      <w:pPr>
        <w:pStyle w:val="ListBullet"/>
        <w:spacing w:after="80" w:line="276" w:lineRule="auto"/>
      </w:pPr>
      <w:r>
        <w:t>Supervised and mentored a library technician and two volunteer assistants, rostering staff to cover lunchtime openings and maintaining consistent service.</w:t>
      </w:r>
    </w:p>
    <w:p>
      <w:pPr>
        <w:pStyle w:val="ListBullet"/>
        <w:spacing w:after="240" w:line="276" w:lineRule="auto"/>
      </w:pPr>
      <w:r>
        <w:t>Catalogued and digitised a backlog of local history resources, making them searchable through Oliver and accessible to students and staff online.</w:t>
      </w:r>
    </w:p>
    <w:p>
      <w:pPr>
        <w:spacing w:before="280" w:after="120"/>
        <w:jc w:val="left"/>
        <w:pBdr>
          <w:bottom w:val="single" w:sz="6" w:space="4" w:color="DFDED8"/>
        </w:pBdr>
      </w:pPr>
      <w:r>
        <w:rPr>
          <w:b/>
          <w:color w:val="2F62D9"/>
          <w:sz w:val="22"/>
        </w:rPr>
        <w:t>EDUCATION</w:t>
      </w:r>
    </w:p>
    <w:p>
      <w:pPr>
        <w:spacing w:before="0" w:after="200"/>
        <w:jc w:val="left"/>
      </w:pPr>
      <w:r>
        <w:t>Bachelor of Education (Primary or Secondary) plus a postgraduate qualification in library and information studies, such as a Master of Information Studies or a Graduate Diploma in Library and Information Management. Teacher registration with the relevant state or territory authority, and eligibility for associate membership of ALIA.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