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Tennis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Tennis coach working across club, school and council programs, with a focus on junior development and squad coaching. Combines on-court technique correction with structured fitness and drill programming, plus the scheduling and booking admin that keeps a coaching program running. Tennis Australia accredited and comfortable teaching first-time juniors and adult beginners through to competition players.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Tennis technique assessment and stroke correction   •   Individual and group lesson delivery   •   Junior development and ANZ Tennis Hot Shots programs   •   Training drill and fitness routine design   •   Player feedback and progress tracking   •   Court booking and coaching schedule management   •   Parent and adult learner communication   •   Customer service   •   Tennis Australia Coach Console   •   Court Reserve   •   SwingVision   •   Dartfish   •   PlaySight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Tennis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weekly individual and group lessons across beginner to competition level, building a regular junior squad that filled the after-school timeslots</w:t>
      </w:r>
    </w:p>
    <w:p>
      <w:pPr>
        <w:pStyle w:val="ListBullet"/>
        <w:spacing w:after="80" w:line="276" w:lineRule="auto"/>
      </w:pPr>
      <w:r>
        <w:t>Assessed player technique on court and gave targeted feedback, which lifted rally consistency for squad players across a full season</w:t>
      </w:r>
    </w:p>
    <w:p>
      <w:pPr>
        <w:pStyle w:val="ListBullet"/>
        <w:spacing w:after="80" w:line="276" w:lineRule="auto"/>
      </w:pPr>
      <w:r>
        <w:t>Organised and ran junior development programs, coordinating Hot Shots sessions and end-of-term match play days</w:t>
      </w:r>
    </w:p>
    <w:p>
      <w:pPr>
        <w:pStyle w:val="ListBullet"/>
        <w:spacing w:after="80" w:line="276" w:lineRule="auto"/>
      </w:pPr>
      <w:r>
        <w:t>Prepared training drills and fitness routines matched to each squad's stage, easing loads back during the competition season</w:t>
      </w:r>
    </w:p>
    <w:p>
      <w:pPr>
        <w:pStyle w:val="ListBullet"/>
        <w:spacing w:after="80" w:line="276" w:lineRule="auto"/>
      </w:pPr>
      <w:r>
        <w:t>Managed court bookings and coaching schedules across two venues, cutting clashes and double bookings over a busy summer term</w:t>
      </w:r>
    </w:p>
    <w:p>
      <w:pPr>
        <w:pStyle w:val="ListBullet"/>
        <w:spacing w:after="80" w:line="276" w:lineRule="auto"/>
      </w:pPr>
      <w:r>
        <w:t>Used SwingVision and Dartfish footage in review sessions so players could see their own technique and track changes week to week</w:t>
      </w:r>
    </w:p>
    <w:p>
      <w:pPr>
        <w:pStyle w:val="ListBullet"/>
        <w:spacing w:after="240" w:line="276" w:lineRule="auto"/>
      </w:pPr>
      <w:r>
        <w:t>Handled enquiries from parents and adult learners, explaining program pathways, squad levels and what each session involves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Tennis Australia coaching accreditation (Community Coach through to Junior Development Coach), often alongside a Certificate III or IV in sport coaching or a related degree, with current first aid and CPR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