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Toxicologist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Toxicologist with experience across clinical, analytical and regulatory settings. Skilled in laboratory analysis, data analysis and risk assessment, with a focus on translating complex toxicological evidence into clear advice for clinicians, regulators and industry. Comfortable working in multidisciplinary teams and maintaining rigorous attention to detail under time pressure.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Laboratory analysis   •   Data analysis   •   Statistical modelling   •   Risk and internal controls   •   Regulatory compliance   •   Clinical assessment and treatment   •   Liquid chromatography-mass spectrometry (LC-MS/MS)   •   Gas chromatography-mass spectrometry (GC-MS)   •   R   •   SAS   •   Laboratory Information Management Systems (LIMS)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Toxicologist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Analysed biological samples for drugs, metals and other toxicants using LC-MS/MS and GC-MS, maintaining clinical turnaround times and accurate chain-of-custody records.</w:t>
      </w:r>
    </w:p>
    <w:p>
      <w:pPr>
        <w:pStyle w:val="ListBullet"/>
        <w:spacing w:after="80" w:line="276" w:lineRule="auto"/>
      </w:pPr>
      <w:r>
        <w:t>Assessed dose-response and exposure data to characterise health risks, preparing written assessments that supported poisons advice and regulatory decision making.</w:t>
      </w:r>
    </w:p>
    <w:p>
      <w:pPr>
        <w:pStyle w:val="ListBullet"/>
        <w:spacing w:after="80" w:line="276" w:lineRule="auto"/>
      </w:pPr>
      <w:r>
        <w:t>Designed and ran toxicity studies in laboratory settings, coordinating sample throughput and documenting methods to NATA and internal quality standards.</w:t>
      </w:r>
    </w:p>
    <w:p>
      <w:pPr>
        <w:pStyle w:val="ListBullet"/>
        <w:spacing w:after="80" w:line="276" w:lineRule="auto"/>
      </w:pPr>
      <w:r>
        <w:t>Interpreted poisoning cases and advised treating clinicians, including after-hours consultations, with clear recommendations on decontamination, antidotes and monitoring.</w:t>
      </w:r>
    </w:p>
    <w:p>
      <w:pPr>
        <w:pStyle w:val="ListBullet"/>
        <w:spacing w:after="80" w:line="276" w:lineRule="auto"/>
      </w:pPr>
      <w:r>
        <w:t>Prepared safety assessments and regulatory submissions under TGA and AICIS frameworks, responding to requests for further information from regulators.</w:t>
      </w:r>
    </w:p>
    <w:p>
      <w:pPr>
        <w:pStyle w:val="ListBullet"/>
        <w:spacing w:after="80" w:line="276" w:lineRule="auto"/>
      </w:pPr>
      <w:r>
        <w:t>Used R and SAS to analyse toxicological datasets and build exposure models, turning complex outputs into plain-language summaries for non-specialist audiences.</w:t>
      </w:r>
    </w:p>
    <w:p>
      <w:pPr>
        <w:pStyle w:val="ListBullet"/>
        <w:spacing w:after="240" w:line="276" w:lineRule="auto"/>
      </w:pPr>
      <w:r>
        <w:t>Maintained LIMS records and method documentation, improving audit readiness and reducing time spent retrieving historical results.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science with a major in chemistry, biochemistry, pharmacology or a related field; many toxicologists also hold a postgraduate qualification such as a Master of Toxicology or a PhD. Diploma or advanced diploma qualifications appear in technical support roles, with further study and laboratory experience leading into toxicologist positions.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