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Tribunal Member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legal professional with a strong background in administrative law and tribunal decision-making. Skilled in presiding over hearings, reviewing evidence, and drafting clear written decisions with reasons. Committed to procedural fairness and timely case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  •   Regulatory and administrative law   •   Casework and client support   •   Policy analysis and advice   •   AustLII   •   LexisNexis   •   Westlaw Australia   •   Tribunal case management systems   •   Microsoft 365   •   Written communication   •   Attention to detail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Tribunal Member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Presided over [number] hearings across [jurisdiction] jurisdictions, managing complex evidence and submissions to ensure fair and timely outcomes.</w:t>
      </w:r>
    </w:p>
    <w:p>
      <w:pPr>
        <w:pStyle w:val="ListBullet"/>
        <w:spacing w:after="80" w:line="276" w:lineRule="auto"/>
      </w:pPr>
      <w:r>
        <w:t>Reviewed extensive evidence and submissions, including expert reports, to identify key issues and make reasoned findings.</w:t>
      </w:r>
    </w:p>
    <w:p>
      <w:pPr>
        <w:pStyle w:val="ListBullet"/>
        <w:spacing w:after="80" w:line="276" w:lineRule="auto"/>
      </w:pPr>
      <w:r>
        <w:t>Applied legal principles and precedent to decide matters in [area] law, maintaining consistency with statutory interpretation.</w:t>
      </w:r>
    </w:p>
    <w:p>
      <w:pPr>
        <w:pStyle w:val="ListBullet"/>
        <w:spacing w:after="80" w:line="276" w:lineRule="auto"/>
      </w:pPr>
      <w:r>
        <w:t>Drafted over [number] written decisions with detailed reasons, contributing to a strong record of decisions upheld on appeal.</w:t>
      </w:r>
    </w:p>
    <w:p>
      <w:pPr>
        <w:pStyle w:val="ListBullet"/>
        <w:spacing w:after="80" w:line="276" w:lineRule="auto"/>
      </w:pPr>
      <w:r>
        <w:t>Conducted directions hearings and case management conferences, reducing average case resolution time from [X] to [Y].</w:t>
      </w:r>
    </w:p>
    <w:p>
      <w:pPr>
        <w:pStyle w:val="ListBullet"/>
        <w:spacing w:after="240" w:line="276" w:lineRule="auto"/>
      </w:pPr>
      <w:r>
        <w:t>Provided policy analysis and advice to tribunal leadership on legislative changes affecting casework.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Laws (LLB) or Juris Doctor, admitted as a legal practitioner in an Australian jurisdiction; many Tribunal Members also hold a Master of Laws or equivalent postgraduate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