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Union Organiser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Union organiser with a background in community engagement and workplace representation, focused on building member power across multiple worksites. Skilled at recruitment, dispute resolution and campaign planning, with a practical understanding of the Fair Work Act and enterprise bargaining. Comfortable working independently across a sector and keeping detailed membership and campaign records.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Community engagement   •   Policy analysis and advice   •   Stakeholder management   •   Written communication   •   Problem solving   •   Client relationships and advisory   •   People leadership   •   Microsoft Office Suite   •   Campaign management software   •   Member databases   •   Zoom or video conferencing   •   Social media platforms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Union Organiser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Recruited and onboarded new members across a portfolio of worksites, increasing membership density and improving retention through regular site visits and one-on-one conversations.</w:t>
      </w:r>
    </w:p>
    <w:p>
      <w:pPr>
        <w:pStyle w:val="ListBullet"/>
        <w:spacing w:after="80" w:line="276" w:lineRule="auto"/>
      </w:pPr>
      <w:r>
        <w:t>Represented members in grievance meetings and disciplinary processes, resolving disputes at the workplace level and escalating to the Fair Work Commission where necessary.</w:t>
      </w:r>
    </w:p>
    <w:p>
      <w:pPr>
        <w:pStyle w:val="ListBullet"/>
        <w:spacing w:after="80" w:line="276" w:lineRule="auto"/>
      </w:pPr>
      <w:r>
        <w:t>Planned and ran workplace campaigns, including protected industrial action ballots, coordinating communication and logistics across multiple sites.</w:t>
      </w:r>
    </w:p>
    <w:p>
      <w:pPr>
        <w:pStyle w:val="ListBullet"/>
        <w:spacing w:after="80" w:line="276" w:lineRule="auto"/>
      </w:pPr>
      <w:r>
        <w:t>Briefed union leadership on emerging workplace issues and helped shape the union's bargaining position ahead of enterprise agreement negotiations.</w:t>
      </w:r>
    </w:p>
    <w:p>
      <w:pPr>
        <w:pStyle w:val="ListBullet"/>
        <w:spacing w:after="80" w:line="276" w:lineRule="auto"/>
      </w:pPr>
      <w:r>
        <w:t>Ran member meetings, delegate training sessions and community events to build workplace support and identify new activists.</w:t>
      </w:r>
    </w:p>
    <w:p>
      <w:pPr>
        <w:pStyle w:val="ListBullet"/>
        <w:spacing w:after="80" w:line="276" w:lineRule="auto"/>
      </w:pPr>
      <w:r>
        <w:t>Maintained membership and contact records in the union's database, ensuring data accuracy for campaigning and compliance.</w:t>
      </w:r>
    </w:p>
    <w:p>
      <w:pPr>
        <w:pStyle w:val="ListBullet"/>
        <w:spacing w:after="240" w:line="276" w:lineRule="auto"/>
      </w:pPr>
      <w:r>
        <w:t>Grew membership at a target worksite by [X]% over six months through a sustained one-on-one recruitment drive.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industrial relations, law, politics or a related social science, or a diploma in community services or business, combined with union-specific training such as the ACTU Organising Works program.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