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Veterinarian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Registered veterinarian with hands-on experience across clinical examination, diagnosis and surgery in companion animal and mixed practice settings. Comfortable managing a full caseload from consultation through to anaesthesia and post-operative care, with a strong focus on preventive health advice and client communication. Committed to evidence-based treatment and accurate clinical record-keeping in line with veterinary board requirements.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Animal care and handling   •   Clinical assessment and treatment   •   Medication management and prescribing   •   Surgical procedures under anaesthesia   •   Diagnostic imaging (ultrasound and radiography)   •   Veterinary practice management software   •   Blood analysis and laboratory testing   •   Care planning and client communication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Veterinarian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Performed clinical examinations and diagnostic testing on companion animals and livestock, identifying underlying conditions and initiating appropriate treatment plans</w:t>
      </w:r>
    </w:p>
    <w:p>
      <w:pPr>
        <w:pStyle w:val="ListBullet"/>
        <w:spacing w:after="80" w:line="276" w:lineRule="auto"/>
      </w:pPr>
      <w:r>
        <w:t>Conducted surgical procedures under general anaesthesia, including desexing and soft tissue surgery, with close monitoring of anaesthetic risk and post-operative recovery</w:t>
      </w:r>
    </w:p>
    <w:p>
      <w:pPr>
        <w:pStyle w:val="ListBullet"/>
        <w:spacing w:after="80" w:line="276" w:lineRule="auto"/>
      </w:pPr>
      <w:r>
        <w:t>Prescribed and administered medications and vaccines in line with practice protocols and scheduled drug requirements</w:t>
      </w:r>
    </w:p>
    <w:p>
      <w:pPr>
        <w:pStyle w:val="ListBullet"/>
        <w:spacing w:after="80" w:line="276" w:lineRule="auto"/>
      </w:pPr>
      <w:r>
        <w:t>Advised owners on nutrition, preventive health and ongoing care, improving client follow-through on treatment plans</w:t>
      </w:r>
    </w:p>
    <w:p>
      <w:pPr>
        <w:pStyle w:val="ListBullet"/>
        <w:spacing w:after="240" w:line="276" w:lineRule="auto"/>
      </w:pPr>
      <w:r>
        <w:t>Maintained detailed medical records across consultations and procedures, supporting compliance with state veterinary board regulations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Bachelor of Veterinary Science, or a Bachelor of Veterinary Biomedical Science followed by a Doctor of Veterinary Medicine, plus registration with the relevant state or territory veterinary board under the Australasian Veterinary Boards Council national framework.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