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Visa and Citizenship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Visa and Citizenship Officer with experience assessing applications under the Migration Act 1958 and the Australian Citizenship Act 2007. Skilled in casework, evidence verification and decision making within departmental systems. Committed to fair, accurate outcomes and clear communication with applicants and stakeholders.</w:t>
      </w:r>
    </w:p>
    <w:p>
      <w:pPr>
        <w:spacing w:before="280" w:after="120"/>
        <w:jc w:val="left"/>
        <w:pBdr>
          <w:bottom w:val="single" w:sz="6" w:space="4" w:color="DFDED8"/>
        </w:pBdr>
      </w:pPr>
      <w:r>
        <w:rPr>
          <w:b/>
          <w:color w:val="2F62D9"/>
          <w:sz w:val="22"/>
        </w:rPr>
        <w:t>KEY SKILLS</w:t>
      </w:r>
    </w:p>
    <w:p>
      <w:pPr>
        <w:spacing w:before="0" w:after="200"/>
        <w:jc w:val="left"/>
      </w:pPr>
      <w:r>
        <w:t>Regulatory compliance   •   Casework and client support   •   Policy analysis and advice   •   Departmental visa processing systems   •   Content Manager (records management)   •   Microsoft Office   •   SharePoint   •   Microsoft Teams   •   Attention to detail   •   Stakeholder management   •   Customer service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Visa and Citizenship Officer</w:t>
      </w:r>
      <w:r>
        <w:t>, [Company Name], [City]</w:t>
      </w:r>
      <w:r>
        <w:rPr>
          <w:i/>
        </w:rPr>
        <w:tab/>
        <w:t>[Month Year] – [Month Year / Present]</w:t>
      </w:r>
    </w:p>
    <w:p>
      <w:pPr>
        <w:pStyle w:val="ListBullet"/>
        <w:spacing w:after="80" w:line="276" w:lineRule="auto"/>
      </w:pPr>
      <w:r>
        <w:t>Assessed visa and citizenship applications against the Migration Act and policy, reducing turnaround from ten days to seven without compromising compliance.</w:t>
      </w:r>
    </w:p>
    <w:p>
      <w:pPr>
        <w:pStyle w:val="ListBullet"/>
        <w:spacing w:after="80" w:line="276" w:lineRule="auto"/>
      </w:pPr>
      <w:r>
        <w:t>Conducted interviews with applicants to verify identity and eligibility, resolving complex cases and escalating where necessary.</w:t>
      </w:r>
    </w:p>
    <w:p>
      <w:pPr>
        <w:pStyle w:val="ListBullet"/>
        <w:spacing w:after="80" w:line="276" w:lineRule="auto"/>
      </w:pPr>
      <w:r>
        <w:t>Prepared approval and refusal documentation, ensuring decisions were legally sound and clearly communicated to applicants.</w:t>
      </w:r>
    </w:p>
    <w:p>
      <w:pPr>
        <w:pStyle w:val="ListBullet"/>
        <w:spacing w:after="80" w:line="276" w:lineRule="auto"/>
      </w:pPr>
      <w:r>
        <w:t>Recorded case activity accurately in departmental case management systems, maintaining data integrity across a caseload of over 100 active files.</w:t>
      </w:r>
    </w:p>
    <w:p>
      <w:pPr>
        <w:pStyle w:val="ListBullet"/>
        <w:spacing w:after="240" w:line="276" w:lineRule="auto"/>
      </w:pPr>
      <w:r>
        <w:t>Advised applicants, migration agents and stakeholders on visa pathways, improving understanding and reducing follow-up enquiries noticeably.</w:t>
      </w:r>
    </w:p>
    <w:p>
      <w:pPr>
        <w:spacing w:before="280" w:after="120"/>
        <w:jc w:val="left"/>
        <w:pBdr>
          <w:bottom w:val="single" w:sz="6" w:space="4" w:color="DFDED8"/>
        </w:pBdr>
      </w:pPr>
      <w:r>
        <w:rPr>
          <w:b/>
          <w:color w:val="2F62D9"/>
          <w:sz w:val="22"/>
        </w:rPr>
        <w:t>EDUCATION</w:t>
      </w:r>
    </w:p>
    <w:p>
      <w:pPr>
        <w:spacing w:before="0" w:after="200"/>
        <w:jc w:val="left"/>
      </w:pPr>
      <w:r>
        <w:t>Typical entry is via a bachelor degree in law, public policy, international relations or a related discipline. Some officers hold a diploma or advanced diploma in government or migration law, or a Certificate IV in Government.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