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Vision Impairment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teacher with specialist postgraduate training in vision impairment, experienced in supporting students who are blind or have low vision from early childhood to senior secondary. Skilled in functional vision assessment, Braille instruction and assistive technology, and in adapting curriculum materials so students access learning alongside their peers. Works collaboratively with classroom teachers, families and allied health teams to deliver inclusive, individualised programs.</w:t>
      </w:r>
    </w:p>
    <w:p>
      <w:pPr>
        <w:spacing w:before="280" w:after="120"/>
        <w:jc w:val="left"/>
        <w:pBdr>
          <w:bottom w:val="single" w:sz="6" w:space="4" w:color="DFDED8"/>
        </w:pBdr>
      </w:pPr>
      <w:r>
        <w:rPr>
          <w:b/>
          <w:color w:val="2F62D9"/>
          <w:sz w:val="22"/>
        </w:rPr>
        <w:t>KEY SKILLS</w:t>
      </w:r>
    </w:p>
    <w:p>
      <w:pPr>
        <w:spacing w:before="0" w:after="200"/>
        <w:jc w:val="left"/>
      </w:pPr>
      <w:r>
        <w:t>Functional vision assessment   •   Braille literacy instruction (contracted and uncontracted)   •   Assistive technology training (JAWS, NVDA, BrailleNote Touch)   •   Curriculum adaptation into braille, large print and accessible digital formats   •   Individual Education Plan (IEP) development and review   •   Inclusive teaching and assessment adjustments   •   Duxbury Braille Translator   •   Microsoft Office accessibility tools   •   Classroom teacher coaching and professional learning   •   Family and allied health liaison   •   Expanded Core Curriculum (ECC) delivery   •   Problem solving and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Vision Impairment Teacher</w:t>
      </w:r>
      <w:r>
        <w:t>, [Company Name], [City]</w:t>
      </w:r>
      <w:r>
        <w:rPr>
          <w:i/>
        </w:rPr>
        <w:tab/>
        <w:t>[Month Year] – [Month Year / Present]</w:t>
      </w:r>
    </w:p>
    <w:p>
      <w:pPr>
        <w:pStyle w:val="ListBullet"/>
        <w:spacing w:after="80" w:line="276" w:lineRule="auto"/>
      </w:pPr>
      <w:r>
        <w:t>Assessed functional vision for students across multiple school sites, using formal and informal tools to identify learning adjustments and document them in individual plans.</w:t>
      </w:r>
    </w:p>
    <w:p>
      <w:pPr>
        <w:pStyle w:val="ListBullet"/>
        <w:spacing w:after="80" w:line="276" w:lineRule="auto"/>
      </w:pPr>
      <w:r>
        <w:t>Taught Braille literacy to a student who moved from pre-braille to contracted braille within a school year, enabling independent reading of classroom texts.</w:t>
      </w:r>
    </w:p>
    <w:p>
      <w:pPr>
        <w:pStyle w:val="ListBullet"/>
        <w:spacing w:after="80" w:line="276" w:lineRule="auto"/>
      </w:pPr>
      <w:r>
        <w:t>Adapted a term's worth of curriculum materials into accessible formats (braille, large print, digital) so students could access the same content as their peers with minimal delay.</w:t>
      </w:r>
    </w:p>
    <w:p>
      <w:pPr>
        <w:pStyle w:val="ListBullet"/>
        <w:spacing w:after="80" w:line="276" w:lineRule="auto"/>
      </w:pPr>
      <w:r>
        <w:t>Trained classroom teachers and education assistants in screen reader use (JAWS, NVDA) and accessible document design, increasing their confidence to support students day to day.</w:t>
      </w:r>
    </w:p>
    <w:p>
      <w:pPr>
        <w:pStyle w:val="ListBullet"/>
        <w:spacing w:after="80" w:line="276" w:lineRule="auto"/>
      </w:pPr>
      <w:r>
        <w:t>Liaised with families, speech pathologists, occupational therapists and school wellbeing staff to align strategies, resulting in consistent support across home and school.</w:t>
      </w:r>
    </w:p>
    <w:p>
      <w:pPr>
        <w:pStyle w:val="ListBullet"/>
        <w:spacing w:after="80" w:line="276" w:lineRule="auto"/>
      </w:pPr>
      <w:r>
        <w:t>Introduced BrailleNote Touch devices to secondary students, helping them take notes and complete assessments alongside classmates.</w:t>
      </w:r>
    </w:p>
    <w:p>
      <w:pPr>
        <w:pStyle w:val="ListBullet"/>
        <w:spacing w:after="240" w:line="276" w:lineRule="auto"/>
      </w:pPr>
      <w:r>
        <w:t>Coordinated with the school's inclusive education team to implement National Consistent Collection of Data (NCCD) adjustments and evidence collection.</w:t>
      </w:r>
    </w:p>
    <w:p>
      <w:pPr>
        <w:spacing w:before="280" w:after="120"/>
        <w:jc w:val="left"/>
        <w:pBdr>
          <w:bottom w:val="single" w:sz="6" w:space="4" w:color="DFDED8"/>
        </w:pBdr>
      </w:pPr>
      <w:r>
        <w:rPr>
          <w:b/>
          <w:color w:val="2F62D9"/>
          <w:sz w:val="22"/>
        </w:rPr>
        <w:t>EDUCATION</w:t>
      </w:r>
    </w:p>
    <w:p>
      <w:pPr>
        <w:spacing w:before="0" w:after="200"/>
        <w:jc w:val="left"/>
      </w:pPr>
      <w:r>
        <w:t>Bachelor of Education (Primary or Secondary) followed by a recognised postgraduate qualification in vision impairment, such as a Graduate Certificate or Master of Special Education (Vision Impairment).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